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6C" w:rsidRPr="00864587" w:rsidRDefault="0008676C" w:rsidP="0008676C">
      <w:pPr>
        <w:ind w:left="360"/>
        <w:jc w:val="center"/>
        <w:rPr>
          <w:b/>
          <w:sz w:val="28"/>
          <w:szCs w:val="28"/>
        </w:rPr>
      </w:pPr>
      <w:r w:rsidRPr="00864587">
        <w:rPr>
          <w:b/>
          <w:sz w:val="28"/>
          <w:szCs w:val="28"/>
        </w:rPr>
        <w:t>Budget Questions and Requests for Information</w:t>
      </w:r>
    </w:p>
    <w:p w:rsidR="0008676C" w:rsidRDefault="0008676C" w:rsidP="0008676C">
      <w:pPr>
        <w:ind w:left="360"/>
        <w:jc w:val="center"/>
        <w:rPr>
          <w:b/>
          <w:sz w:val="28"/>
          <w:szCs w:val="28"/>
        </w:rPr>
      </w:pPr>
      <w:r w:rsidRPr="00864587">
        <w:rPr>
          <w:b/>
          <w:sz w:val="28"/>
          <w:szCs w:val="28"/>
        </w:rPr>
        <w:t>201</w:t>
      </w:r>
      <w:r w:rsidR="00F304E4">
        <w:rPr>
          <w:b/>
          <w:sz w:val="28"/>
          <w:szCs w:val="28"/>
        </w:rPr>
        <w:t>8</w:t>
      </w:r>
      <w:r w:rsidRPr="00864587">
        <w:rPr>
          <w:b/>
          <w:sz w:val="28"/>
          <w:szCs w:val="28"/>
        </w:rPr>
        <w:t>-1</w:t>
      </w:r>
      <w:r w:rsidR="00F304E4">
        <w:rPr>
          <w:b/>
          <w:sz w:val="28"/>
          <w:szCs w:val="28"/>
        </w:rPr>
        <w:t>9</w:t>
      </w:r>
      <w:r w:rsidRPr="00864587">
        <w:rPr>
          <w:b/>
          <w:sz w:val="28"/>
          <w:szCs w:val="28"/>
        </w:rPr>
        <w:t xml:space="preserve"> Recommended Budget</w:t>
      </w:r>
    </w:p>
    <w:p w:rsidR="00237BAA" w:rsidRDefault="00C326E9" w:rsidP="0008676C">
      <w:pPr>
        <w:ind w:left="360"/>
        <w:jc w:val="center"/>
        <w:rPr>
          <w:b/>
          <w:sz w:val="28"/>
          <w:szCs w:val="28"/>
        </w:rPr>
      </w:pPr>
      <w:r>
        <w:rPr>
          <w:b/>
          <w:sz w:val="28"/>
          <w:szCs w:val="28"/>
        </w:rPr>
        <w:t>Question #</w:t>
      </w:r>
      <w:r w:rsidR="00C2222B">
        <w:rPr>
          <w:b/>
          <w:sz w:val="28"/>
          <w:szCs w:val="28"/>
        </w:rPr>
        <w:t>8</w:t>
      </w:r>
    </w:p>
    <w:p w:rsidR="0008676C" w:rsidRDefault="0008676C" w:rsidP="0008676C">
      <w:pPr>
        <w:ind w:left="360"/>
        <w:jc w:val="center"/>
      </w:pPr>
    </w:p>
    <w:p w:rsidR="0008676C" w:rsidRDefault="0008676C" w:rsidP="00925763">
      <w:pPr>
        <w:ind w:left="1440" w:hanging="1440"/>
      </w:pPr>
      <w:r w:rsidRPr="00000419">
        <w:rPr>
          <w:b/>
        </w:rPr>
        <w:t>QUESTION:</w:t>
      </w:r>
      <w:r w:rsidRPr="00000419">
        <w:t xml:space="preserve">  </w:t>
      </w:r>
      <w:r w:rsidR="00C2222B">
        <w:t>What is the impact of the American Legion purchase on the general Fund</w:t>
      </w:r>
      <w:r w:rsidR="0099088C">
        <w:t xml:space="preserve">? </w:t>
      </w:r>
    </w:p>
    <w:p w:rsidR="0099088C" w:rsidRPr="00000419" w:rsidRDefault="0099088C" w:rsidP="0008676C"/>
    <w:p w:rsidR="0008676C" w:rsidRDefault="0008676C" w:rsidP="00C2222B">
      <w:pPr>
        <w:rPr>
          <w:b/>
        </w:rPr>
      </w:pPr>
      <w:r w:rsidRPr="00000419">
        <w:rPr>
          <w:b/>
        </w:rPr>
        <w:t xml:space="preserve">RESPONDENT:  </w:t>
      </w:r>
      <w:r w:rsidR="00237BAA">
        <w:rPr>
          <w:b/>
        </w:rPr>
        <w:tab/>
      </w:r>
      <w:r w:rsidR="00881270">
        <w:t>Kenneth C. Pennoyer</w:t>
      </w:r>
      <w:r w:rsidR="00DA63F2">
        <w:t>, Bu</w:t>
      </w:r>
      <w:r w:rsidR="00881270">
        <w:t>siness Management Director</w:t>
      </w:r>
      <w:r w:rsidRPr="00000419">
        <w:rPr>
          <w:b/>
        </w:rPr>
        <w:t xml:space="preserve">  </w:t>
      </w:r>
    </w:p>
    <w:p w:rsidR="0008676C" w:rsidRDefault="0008676C" w:rsidP="0008676C">
      <w:pPr>
        <w:rPr>
          <w:b/>
        </w:rPr>
      </w:pPr>
    </w:p>
    <w:p w:rsidR="00C04EFE" w:rsidRDefault="0008676C" w:rsidP="0099088C">
      <w:r w:rsidRPr="0008676C">
        <w:rPr>
          <w:b/>
          <w:iCs/>
          <w:caps/>
        </w:rPr>
        <w:t xml:space="preserve">Response:  </w:t>
      </w:r>
      <w:r w:rsidR="0099088C">
        <w:t xml:space="preserve">The </w:t>
      </w:r>
      <w:r w:rsidR="00C2222B">
        <w:t>first payment for the American Legion property ($3.6 million) wa</w:t>
      </w:r>
      <w:r w:rsidR="00C04EFE">
        <w:t xml:space="preserve">s </w:t>
      </w:r>
      <w:r w:rsidR="00C2222B">
        <w:t>paid using the fund balance in excess of the 22% target level.  At the end of FY16 fund balance was at 28.4%.</w:t>
      </w:r>
      <w:r w:rsidR="00C04EFE">
        <w:t xml:space="preserve">  Based on our calculations</w:t>
      </w:r>
      <w:r w:rsidR="00BC3347">
        <w:t>,</w:t>
      </w:r>
      <w:r w:rsidR="00C04EFE">
        <w:t xml:space="preserve"> $3,583,033 was the dollar difference between the actual fund balance (28.4%) and the target fund balance (22%).   A planned spend-down of $3.6 million</w:t>
      </w:r>
      <w:r w:rsidR="00BC3347">
        <w:t xml:space="preserve">, for the first American Legion payment, </w:t>
      </w:r>
      <w:r w:rsidR="00C04EFE">
        <w:t xml:space="preserve">should have put us at target at the end of FY17, assuming that the rest of the budget was balanced.  Unfortunately, </w:t>
      </w:r>
      <w:r w:rsidR="007B0B5F">
        <w:t>some revenues, including permits and charges for services fell short in FY17</w:t>
      </w:r>
      <w:r w:rsidR="00B850DC">
        <w:t xml:space="preserve"> and we did not </w:t>
      </w:r>
      <w:r w:rsidR="00353F75">
        <w:t>achieve the projected budgetary savings, resulting in a fund balance of 20.0% at the end of FY17.</w:t>
      </w:r>
    </w:p>
    <w:p w:rsidR="00353F75" w:rsidRDefault="00353F75" w:rsidP="0099088C"/>
    <w:p w:rsidR="00353F75" w:rsidRDefault="00353F75" w:rsidP="0099088C">
      <w:r>
        <w:t xml:space="preserve">The practice of using fund balance in excess of target for one-time </w:t>
      </w:r>
      <w:r w:rsidR="002763CB">
        <w:t xml:space="preserve">capital </w:t>
      </w:r>
      <w:r>
        <w:t xml:space="preserve">expenditures </w:t>
      </w:r>
      <w:r w:rsidR="002763CB">
        <w:t xml:space="preserve">or </w:t>
      </w:r>
      <w:r>
        <w:t xml:space="preserve">OPEB </w:t>
      </w:r>
      <w:r w:rsidR="002763CB">
        <w:t xml:space="preserve">prefunding </w:t>
      </w:r>
      <w:r>
        <w:t>contributions began in FY14.  Uses of fund balance in excess of target are shown in the following table</w:t>
      </w:r>
      <w:r w:rsidR="002763CB">
        <w:t>:</w:t>
      </w:r>
    </w:p>
    <w:p w:rsidR="002763CB" w:rsidRDefault="002763CB" w:rsidP="0099088C"/>
    <w:tbl>
      <w:tblPr>
        <w:tblStyle w:val="TableGrid"/>
        <w:tblW w:w="0" w:type="auto"/>
        <w:tblLook w:val="04A0" w:firstRow="1" w:lastRow="0" w:firstColumn="1" w:lastColumn="0" w:noHBand="0" w:noVBand="1"/>
      </w:tblPr>
      <w:tblGrid>
        <w:gridCol w:w="3055"/>
        <w:gridCol w:w="2160"/>
        <w:gridCol w:w="2160"/>
        <w:gridCol w:w="1975"/>
      </w:tblGrid>
      <w:tr w:rsidR="002763CB" w:rsidTr="002763CB">
        <w:tc>
          <w:tcPr>
            <w:tcW w:w="3055" w:type="dxa"/>
          </w:tcPr>
          <w:p w:rsidR="002763CB" w:rsidRDefault="002763CB" w:rsidP="0099088C"/>
        </w:tc>
        <w:tc>
          <w:tcPr>
            <w:tcW w:w="2160" w:type="dxa"/>
          </w:tcPr>
          <w:p w:rsidR="002763CB" w:rsidRPr="002763CB" w:rsidRDefault="002763CB" w:rsidP="002763CB">
            <w:pPr>
              <w:jc w:val="center"/>
              <w:rPr>
                <w:b/>
              </w:rPr>
            </w:pPr>
            <w:r w:rsidRPr="002763CB">
              <w:rPr>
                <w:b/>
              </w:rPr>
              <w:t>FY14</w:t>
            </w:r>
          </w:p>
        </w:tc>
        <w:tc>
          <w:tcPr>
            <w:tcW w:w="2160" w:type="dxa"/>
          </w:tcPr>
          <w:p w:rsidR="002763CB" w:rsidRPr="002763CB" w:rsidRDefault="002763CB" w:rsidP="002763CB">
            <w:pPr>
              <w:jc w:val="center"/>
              <w:rPr>
                <w:b/>
              </w:rPr>
            </w:pPr>
            <w:r w:rsidRPr="002763CB">
              <w:rPr>
                <w:b/>
              </w:rPr>
              <w:t>FY15</w:t>
            </w:r>
          </w:p>
        </w:tc>
        <w:tc>
          <w:tcPr>
            <w:tcW w:w="1975" w:type="dxa"/>
          </w:tcPr>
          <w:p w:rsidR="002763CB" w:rsidRPr="002763CB" w:rsidRDefault="002763CB" w:rsidP="002763CB">
            <w:pPr>
              <w:jc w:val="center"/>
              <w:rPr>
                <w:b/>
              </w:rPr>
            </w:pPr>
            <w:r w:rsidRPr="002763CB">
              <w:rPr>
                <w:b/>
              </w:rPr>
              <w:t>FY16</w:t>
            </w:r>
          </w:p>
        </w:tc>
      </w:tr>
      <w:tr w:rsidR="002763CB" w:rsidTr="002763CB">
        <w:tc>
          <w:tcPr>
            <w:tcW w:w="3055" w:type="dxa"/>
          </w:tcPr>
          <w:p w:rsidR="002763CB" w:rsidRPr="0034617E" w:rsidRDefault="002763CB" w:rsidP="0099088C">
            <w:r w:rsidRPr="0034617E">
              <w:t>Fund Balance Over Target</w:t>
            </w:r>
          </w:p>
        </w:tc>
        <w:tc>
          <w:tcPr>
            <w:tcW w:w="2160" w:type="dxa"/>
          </w:tcPr>
          <w:p w:rsidR="002763CB" w:rsidRPr="0034617E" w:rsidRDefault="0034617E" w:rsidP="002763CB">
            <w:pPr>
              <w:jc w:val="right"/>
            </w:pPr>
            <w:r w:rsidRPr="0034617E">
              <w:t>$ 1,166,434</w:t>
            </w:r>
          </w:p>
        </w:tc>
        <w:tc>
          <w:tcPr>
            <w:tcW w:w="2160" w:type="dxa"/>
          </w:tcPr>
          <w:p w:rsidR="002763CB" w:rsidRPr="0034617E" w:rsidRDefault="0034617E" w:rsidP="002763CB">
            <w:pPr>
              <w:jc w:val="right"/>
            </w:pPr>
            <w:r>
              <w:t>$ 1,128,698</w:t>
            </w:r>
          </w:p>
        </w:tc>
        <w:tc>
          <w:tcPr>
            <w:tcW w:w="1975" w:type="dxa"/>
          </w:tcPr>
          <w:p w:rsidR="002763CB" w:rsidRPr="0034617E" w:rsidRDefault="002763CB" w:rsidP="002763CB">
            <w:pPr>
              <w:jc w:val="right"/>
            </w:pPr>
            <w:r w:rsidRPr="0034617E">
              <w:t>$ 3,583,033</w:t>
            </w:r>
          </w:p>
        </w:tc>
      </w:tr>
      <w:tr w:rsidR="002763CB" w:rsidTr="002763CB">
        <w:tc>
          <w:tcPr>
            <w:tcW w:w="3055" w:type="dxa"/>
          </w:tcPr>
          <w:p w:rsidR="002763CB" w:rsidRPr="0034617E" w:rsidRDefault="002763CB" w:rsidP="0099088C">
            <w:pPr>
              <w:rPr>
                <w:b/>
              </w:rPr>
            </w:pPr>
            <w:r w:rsidRPr="0034617E">
              <w:rPr>
                <w:b/>
              </w:rPr>
              <w:t>Use of Fund Balance:</w:t>
            </w:r>
          </w:p>
        </w:tc>
        <w:tc>
          <w:tcPr>
            <w:tcW w:w="2160" w:type="dxa"/>
          </w:tcPr>
          <w:p w:rsidR="002763CB" w:rsidRDefault="002763CB" w:rsidP="002763CB">
            <w:pPr>
              <w:jc w:val="right"/>
            </w:pPr>
          </w:p>
        </w:tc>
        <w:tc>
          <w:tcPr>
            <w:tcW w:w="2160" w:type="dxa"/>
          </w:tcPr>
          <w:p w:rsidR="002763CB" w:rsidRDefault="002763CB" w:rsidP="002763CB">
            <w:pPr>
              <w:jc w:val="right"/>
            </w:pPr>
          </w:p>
        </w:tc>
        <w:tc>
          <w:tcPr>
            <w:tcW w:w="1975" w:type="dxa"/>
          </w:tcPr>
          <w:p w:rsidR="002763CB" w:rsidRDefault="002763CB" w:rsidP="002763CB">
            <w:pPr>
              <w:jc w:val="right"/>
            </w:pPr>
          </w:p>
        </w:tc>
      </w:tr>
      <w:tr w:rsidR="002763CB" w:rsidTr="002763CB">
        <w:tc>
          <w:tcPr>
            <w:tcW w:w="3055" w:type="dxa"/>
          </w:tcPr>
          <w:p w:rsidR="002763CB" w:rsidRDefault="002763CB" w:rsidP="0099088C">
            <w:r>
              <w:t>OPEB Pre-funding</w:t>
            </w:r>
          </w:p>
        </w:tc>
        <w:tc>
          <w:tcPr>
            <w:tcW w:w="2160" w:type="dxa"/>
          </w:tcPr>
          <w:p w:rsidR="002763CB" w:rsidRDefault="0067350F" w:rsidP="002763CB">
            <w:pPr>
              <w:jc w:val="right"/>
            </w:pPr>
            <w:r>
              <w:t>558,000</w:t>
            </w:r>
          </w:p>
        </w:tc>
        <w:tc>
          <w:tcPr>
            <w:tcW w:w="2160" w:type="dxa"/>
          </w:tcPr>
          <w:p w:rsidR="002763CB" w:rsidRDefault="0067350F" w:rsidP="002763CB">
            <w:pPr>
              <w:jc w:val="right"/>
            </w:pPr>
            <w:r>
              <w:t>500,000</w:t>
            </w:r>
          </w:p>
        </w:tc>
        <w:tc>
          <w:tcPr>
            <w:tcW w:w="1975" w:type="dxa"/>
          </w:tcPr>
          <w:p w:rsidR="002763CB" w:rsidRDefault="002763CB" w:rsidP="002763CB">
            <w:pPr>
              <w:jc w:val="right"/>
            </w:pPr>
          </w:p>
        </w:tc>
      </w:tr>
      <w:tr w:rsidR="002763CB" w:rsidTr="002763CB">
        <w:tc>
          <w:tcPr>
            <w:tcW w:w="3055" w:type="dxa"/>
          </w:tcPr>
          <w:p w:rsidR="002763CB" w:rsidRDefault="002763CB" w:rsidP="0099088C">
            <w:r>
              <w:t>Rogers Road Project</w:t>
            </w:r>
          </w:p>
        </w:tc>
        <w:tc>
          <w:tcPr>
            <w:tcW w:w="2160" w:type="dxa"/>
          </w:tcPr>
          <w:p w:rsidR="002763CB" w:rsidRDefault="0067350F" w:rsidP="002763CB">
            <w:pPr>
              <w:jc w:val="right"/>
            </w:pPr>
            <w:r>
              <w:t>558,000</w:t>
            </w:r>
          </w:p>
        </w:tc>
        <w:tc>
          <w:tcPr>
            <w:tcW w:w="2160" w:type="dxa"/>
          </w:tcPr>
          <w:p w:rsidR="002763CB" w:rsidRDefault="0067350F" w:rsidP="002763CB">
            <w:pPr>
              <w:jc w:val="right"/>
            </w:pPr>
            <w:r>
              <w:t>500,000</w:t>
            </w:r>
          </w:p>
        </w:tc>
        <w:tc>
          <w:tcPr>
            <w:tcW w:w="1975" w:type="dxa"/>
          </w:tcPr>
          <w:p w:rsidR="002763CB" w:rsidRDefault="002763CB" w:rsidP="002763CB">
            <w:pPr>
              <w:jc w:val="right"/>
            </w:pPr>
          </w:p>
        </w:tc>
      </w:tr>
      <w:tr w:rsidR="002763CB" w:rsidTr="002763CB">
        <w:tc>
          <w:tcPr>
            <w:tcW w:w="3055" w:type="dxa"/>
          </w:tcPr>
          <w:p w:rsidR="002763CB" w:rsidRDefault="002763CB" w:rsidP="0099088C">
            <w:r>
              <w:t>American Legion Property</w:t>
            </w:r>
          </w:p>
        </w:tc>
        <w:tc>
          <w:tcPr>
            <w:tcW w:w="2160" w:type="dxa"/>
          </w:tcPr>
          <w:p w:rsidR="002763CB" w:rsidRDefault="002763CB" w:rsidP="002763CB">
            <w:pPr>
              <w:jc w:val="right"/>
            </w:pPr>
          </w:p>
        </w:tc>
        <w:tc>
          <w:tcPr>
            <w:tcW w:w="2160" w:type="dxa"/>
          </w:tcPr>
          <w:p w:rsidR="002763CB" w:rsidRDefault="002763CB" w:rsidP="002763CB">
            <w:pPr>
              <w:jc w:val="right"/>
            </w:pPr>
          </w:p>
        </w:tc>
        <w:tc>
          <w:tcPr>
            <w:tcW w:w="1975" w:type="dxa"/>
          </w:tcPr>
          <w:p w:rsidR="002763CB" w:rsidRDefault="002763CB" w:rsidP="002763CB">
            <w:pPr>
              <w:jc w:val="right"/>
            </w:pPr>
            <w:r>
              <w:t>$3,600,000</w:t>
            </w:r>
          </w:p>
        </w:tc>
      </w:tr>
    </w:tbl>
    <w:p w:rsidR="002763CB" w:rsidRDefault="002763CB" w:rsidP="0099088C"/>
    <w:p w:rsidR="003E09DC" w:rsidRDefault="0067350F" w:rsidP="0099088C">
      <w:r>
        <w:t>Had the Town not bought the American Legion property</w:t>
      </w:r>
      <w:r w:rsidR="003E09DC">
        <w:t>,</w:t>
      </w:r>
      <w:r>
        <w:t xml:space="preserve"> the $3.6 million may have been used in a manner similar to previous years.  That is, a portion </w:t>
      </w:r>
      <w:r w:rsidR="00925763">
        <w:t>might</w:t>
      </w:r>
      <w:bookmarkStart w:id="0" w:name="_GoBack"/>
      <w:bookmarkEnd w:id="0"/>
      <w:r>
        <w:t xml:space="preserve"> have gone to fund capital projects such as Rogers Road and a portion would have gone to OPEB pre-funding.  </w:t>
      </w:r>
      <w:r w:rsidR="003E09DC">
        <w:t xml:space="preserve">However, this is speculation, Council could have made a different decision regarding the $3.6 million. </w:t>
      </w:r>
    </w:p>
    <w:p w:rsidR="003E09DC" w:rsidRDefault="003E09DC" w:rsidP="0099088C"/>
    <w:p w:rsidR="003E09DC" w:rsidRDefault="003E09DC" w:rsidP="0099088C">
      <w:r>
        <w:t xml:space="preserve">In FY17 the Town began making OPEB prefunding contributions directly from the operating budget rather than from fund balance over target.  Had the American Legion property not been purchased this contribution of $525,000 may have been paid from fund balance, making an additional $525,000 available in the General Fund. </w:t>
      </w:r>
    </w:p>
    <w:p w:rsidR="003E09DC" w:rsidRDefault="003E09DC" w:rsidP="0099088C"/>
    <w:p w:rsidR="002763CB" w:rsidRDefault="003E09DC" w:rsidP="0099088C">
      <w:r>
        <w:t xml:space="preserve">The second and third payments for the property ($4.3 million total) </w:t>
      </w:r>
      <w:r w:rsidR="00BC3347">
        <w:t>have been</w:t>
      </w:r>
      <w:r>
        <w:t xml:space="preserve"> financed using Parks and Recreation Facilities G.O. Bonds.  </w:t>
      </w:r>
      <w:r w:rsidR="00BC3347">
        <w:t xml:space="preserve">This does not impact the General Fund directly, but it does use a source of financing that may have been used for other projects.  To the extent that the repayment of these bonds uses capacity in the Debt Management Fund, theoretically it displaces $4.3 million of other projects that will need to wait until additional borrowing capacity is created. </w:t>
      </w:r>
      <w:r>
        <w:t xml:space="preserve">     </w:t>
      </w:r>
      <w:r w:rsidR="0067350F">
        <w:t xml:space="preserve">    </w:t>
      </w:r>
    </w:p>
    <w:p w:rsidR="00C04EFE" w:rsidRDefault="00C04EFE" w:rsidP="0099088C"/>
    <w:p w:rsidR="00C04EFE" w:rsidRDefault="00C04EFE" w:rsidP="0099088C"/>
    <w:sectPr w:rsidR="00C04E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CC" w:rsidRDefault="00904ECC" w:rsidP="00BC3347">
      <w:r>
        <w:separator/>
      </w:r>
    </w:p>
  </w:endnote>
  <w:endnote w:type="continuationSeparator" w:id="0">
    <w:p w:rsidR="00904ECC" w:rsidRDefault="00904ECC" w:rsidP="00B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617065"/>
      <w:docPartObj>
        <w:docPartGallery w:val="Page Numbers (Bottom of Page)"/>
        <w:docPartUnique/>
      </w:docPartObj>
    </w:sdtPr>
    <w:sdtEndPr>
      <w:rPr>
        <w:noProof/>
      </w:rPr>
    </w:sdtEndPr>
    <w:sdtContent>
      <w:p w:rsidR="00BC3347" w:rsidRDefault="00BC3347">
        <w:pPr>
          <w:pStyle w:val="Footer"/>
          <w:jc w:val="center"/>
        </w:pPr>
        <w:r>
          <w:fldChar w:fldCharType="begin"/>
        </w:r>
        <w:r>
          <w:instrText xml:space="preserve"> PAGE   \* MERGEFORMAT </w:instrText>
        </w:r>
        <w:r>
          <w:fldChar w:fldCharType="separate"/>
        </w:r>
        <w:r w:rsidR="00925763">
          <w:rPr>
            <w:noProof/>
          </w:rPr>
          <w:t>1</w:t>
        </w:r>
        <w:r>
          <w:rPr>
            <w:noProof/>
          </w:rPr>
          <w:fldChar w:fldCharType="end"/>
        </w:r>
      </w:p>
    </w:sdtContent>
  </w:sdt>
  <w:p w:rsidR="00BC3347" w:rsidRDefault="00BC3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CC" w:rsidRDefault="00904ECC" w:rsidP="00BC3347">
      <w:r>
        <w:separator/>
      </w:r>
    </w:p>
  </w:footnote>
  <w:footnote w:type="continuationSeparator" w:id="0">
    <w:p w:rsidR="00904ECC" w:rsidRDefault="00904ECC" w:rsidP="00BC3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427"/>
    <w:multiLevelType w:val="hybridMultilevel"/>
    <w:tmpl w:val="9564AF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82540B"/>
    <w:multiLevelType w:val="hybridMultilevel"/>
    <w:tmpl w:val="45B8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E6A77"/>
    <w:multiLevelType w:val="hybridMultilevel"/>
    <w:tmpl w:val="BBD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63090"/>
    <w:multiLevelType w:val="hybridMultilevel"/>
    <w:tmpl w:val="C73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6C"/>
    <w:rsid w:val="0008676C"/>
    <w:rsid w:val="000D52BA"/>
    <w:rsid w:val="002207AF"/>
    <w:rsid w:val="0023219E"/>
    <w:rsid w:val="00237BAA"/>
    <w:rsid w:val="002763CB"/>
    <w:rsid w:val="00294CD7"/>
    <w:rsid w:val="002A7A65"/>
    <w:rsid w:val="00312417"/>
    <w:rsid w:val="00326364"/>
    <w:rsid w:val="0034617E"/>
    <w:rsid w:val="00353F75"/>
    <w:rsid w:val="003E09DC"/>
    <w:rsid w:val="00424C2E"/>
    <w:rsid w:val="00493C09"/>
    <w:rsid w:val="00497F4B"/>
    <w:rsid w:val="005421D0"/>
    <w:rsid w:val="005535F2"/>
    <w:rsid w:val="005777F8"/>
    <w:rsid w:val="00652FBC"/>
    <w:rsid w:val="0067350F"/>
    <w:rsid w:val="006E76F0"/>
    <w:rsid w:val="007B0B5F"/>
    <w:rsid w:val="007D2EC5"/>
    <w:rsid w:val="007E5EAC"/>
    <w:rsid w:val="00881270"/>
    <w:rsid w:val="008C5B3E"/>
    <w:rsid w:val="00904ECC"/>
    <w:rsid w:val="00916204"/>
    <w:rsid w:val="00925763"/>
    <w:rsid w:val="00927E36"/>
    <w:rsid w:val="00947740"/>
    <w:rsid w:val="00966CF9"/>
    <w:rsid w:val="0099088C"/>
    <w:rsid w:val="009C4B70"/>
    <w:rsid w:val="00A763E6"/>
    <w:rsid w:val="00A90536"/>
    <w:rsid w:val="00B010E9"/>
    <w:rsid w:val="00B267AC"/>
    <w:rsid w:val="00B453CD"/>
    <w:rsid w:val="00B850DC"/>
    <w:rsid w:val="00BA32F6"/>
    <w:rsid w:val="00BC3347"/>
    <w:rsid w:val="00C04EFE"/>
    <w:rsid w:val="00C2222B"/>
    <w:rsid w:val="00C326E9"/>
    <w:rsid w:val="00C605B1"/>
    <w:rsid w:val="00CC709D"/>
    <w:rsid w:val="00DA63F2"/>
    <w:rsid w:val="00EA054D"/>
    <w:rsid w:val="00ED53D6"/>
    <w:rsid w:val="00F304E4"/>
    <w:rsid w:val="00F86ACA"/>
    <w:rsid w:val="00FA4BAA"/>
    <w:rsid w:val="00FB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688C-3A85-4BA2-A5CF-70D7E72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3E"/>
    <w:rPr>
      <w:rFonts w:ascii="Segoe UI" w:eastAsia="Times New Roman" w:hAnsi="Segoe UI" w:cs="Segoe UI"/>
      <w:sz w:val="18"/>
      <w:szCs w:val="18"/>
    </w:rPr>
  </w:style>
  <w:style w:type="paragraph" w:styleId="ListParagraph">
    <w:name w:val="List Paragraph"/>
    <w:basedOn w:val="Normal"/>
    <w:uiPriority w:val="34"/>
    <w:qFormat/>
    <w:rsid w:val="007E5EAC"/>
    <w:pPr>
      <w:ind w:left="720"/>
      <w:contextualSpacing/>
    </w:pPr>
  </w:style>
  <w:style w:type="table" w:styleId="TableGrid">
    <w:name w:val="Table Grid"/>
    <w:basedOn w:val="TableNormal"/>
    <w:uiPriority w:val="39"/>
    <w:rsid w:val="0027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47"/>
    <w:pPr>
      <w:tabs>
        <w:tab w:val="center" w:pos="4680"/>
        <w:tab w:val="right" w:pos="9360"/>
      </w:tabs>
    </w:pPr>
  </w:style>
  <w:style w:type="character" w:customStyle="1" w:styleId="HeaderChar">
    <w:name w:val="Header Char"/>
    <w:basedOn w:val="DefaultParagraphFont"/>
    <w:link w:val="Header"/>
    <w:uiPriority w:val="99"/>
    <w:rsid w:val="00BC33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3347"/>
    <w:pPr>
      <w:tabs>
        <w:tab w:val="center" w:pos="4680"/>
        <w:tab w:val="right" w:pos="9360"/>
      </w:tabs>
    </w:pPr>
  </w:style>
  <w:style w:type="character" w:customStyle="1" w:styleId="FooterChar">
    <w:name w:val="Footer Char"/>
    <w:basedOn w:val="DefaultParagraphFont"/>
    <w:link w:val="Footer"/>
    <w:uiPriority w:val="99"/>
    <w:rsid w:val="00BC33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329">
      <w:bodyDiv w:val="1"/>
      <w:marLeft w:val="0"/>
      <w:marRight w:val="0"/>
      <w:marTop w:val="0"/>
      <w:marBottom w:val="0"/>
      <w:divBdr>
        <w:top w:val="none" w:sz="0" w:space="0" w:color="auto"/>
        <w:left w:val="none" w:sz="0" w:space="0" w:color="auto"/>
        <w:bottom w:val="none" w:sz="0" w:space="0" w:color="auto"/>
        <w:right w:val="none" w:sz="0" w:space="0" w:color="auto"/>
      </w:divBdr>
    </w:div>
    <w:div w:id="451360653">
      <w:bodyDiv w:val="1"/>
      <w:marLeft w:val="0"/>
      <w:marRight w:val="0"/>
      <w:marTop w:val="0"/>
      <w:marBottom w:val="0"/>
      <w:divBdr>
        <w:top w:val="none" w:sz="0" w:space="0" w:color="auto"/>
        <w:left w:val="none" w:sz="0" w:space="0" w:color="auto"/>
        <w:bottom w:val="none" w:sz="0" w:space="0" w:color="auto"/>
        <w:right w:val="none" w:sz="0" w:space="0" w:color="auto"/>
      </w:divBdr>
    </w:div>
    <w:div w:id="2046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Pennoyer</dc:creator>
  <cp:keywords/>
  <dc:description/>
  <cp:lastModifiedBy>Roger Stancil</cp:lastModifiedBy>
  <cp:revision>2</cp:revision>
  <cp:lastPrinted>2016-05-13T19:47:00Z</cp:lastPrinted>
  <dcterms:created xsi:type="dcterms:W3CDTF">2018-05-10T23:08:00Z</dcterms:created>
  <dcterms:modified xsi:type="dcterms:W3CDTF">2018-05-10T23:08:00Z</dcterms:modified>
</cp:coreProperties>
</file>