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6C" w:rsidRPr="00864587" w:rsidRDefault="0008676C" w:rsidP="0008676C">
      <w:pPr>
        <w:ind w:left="360"/>
        <w:jc w:val="center"/>
        <w:rPr>
          <w:b/>
          <w:sz w:val="28"/>
          <w:szCs w:val="28"/>
        </w:rPr>
      </w:pPr>
      <w:r w:rsidRPr="00864587">
        <w:rPr>
          <w:b/>
          <w:sz w:val="28"/>
          <w:szCs w:val="28"/>
        </w:rPr>
        <w:t>Budget Questions and Requests for Information</w:t>
      </w:r>
    </w:p>
    <w:p w:rsidR="0008676C" w:rsidRDefault="0008676C" w:rsidP="0008676C">
      <w:pPr>
        <w:ind w:left="360"/>
        <w:jc w:val="center"/>
        <w:rPr>
          <w:b/>
          <w:sz w:val="28"/>
          <w:szCs w:val="28"/>
        </w:rPr>
      </w:pPr>
      <w:r w:rsidRPr="00864587">
        <w:rPr>
          <w:b/>
          <w:sz w:val="28"/>
          <w:szCs w:val="28"/>
        </w:rPr>
        <w:t>201</w:t>
      </w:r>
      <w:r w:rsidR="00F304E4">
        <w:rPr>
          <w:b/>
          <w:sz w:val="28"/>
          <w:szCs w:val="28"/>
        </w:rPr>
        <w:t>8</w:t>
      </w:r>
      <w:r w:rsidRPr="00864587">
        <w:rPr>
          <w:b/>
          <w:sz w:val="28"/>
          <w:szCs w:val="28"/>
        </w:rPr>
        <w:t>-1</w:t>
      </w:r>
      <w:r w:rsidR="00F304E4">
        <w:rPr>
          <w:b/>
          <w:sz w:val="28"/>
          <w:szCs w:val="28"/>
        </w:rPr>
        <w:t>9</w:t>
      </w:r>
      <w:r w:rsidRPr="00864587">
        <w:rPr>
          <w:b/>
          <w:sz w:val="28"/>
          <w:szCs w:val="28"/>
        </w:rPr>
        <w:t xml:space="preserve"> Recommended Budget</w:t>
      </w:r>
    </w:p>
    <w:p w:rsidR="00237BAA" w:rsidRDefault="00C326E9" w:rsidP="0008676C">
      <w:pPr>
        <w:ind w:left="360"/>
        <w:jc w:val="center"/>
        <w:rPr>
          <w:b/>
          <w:sz w:val="28"/>
          <w:szCs w:val="28"/>
        </w:rPr>
      </w:pPr>
      <w:r>
        <w:rPr>
          <w:b/>
          <w:sz w:val="28"/>
          <w:szCs w:val="28"/>
        </w:rPr>
        <w:t>Question #</w:t>
      </w:r>
      <w:r w:rsidR="009244D9">
        <w:rPr>
          <w:b/>
          <w:sz w:val="28"/>
          <w:szCs w:val="28"/>
        </w:rPr>
        <w:t>1</w:t>
      </w:r>
      <w:r w:rsidR="00FE6AC0">
        <w:rPr>
          <w:b/>
          <w:sz w:val="28"/>
          <w:szCs w:val="28"/>
        </w:rPr>
        <w:t>1</w:t>
      </w:r>
      <w:bookmarkStart w:id="0" w:name="_GoBack"/>
      <w:bookmarkEnd w:id="0"/>
    </w:p>
    <w:p w:rsidR="0008676C" w:rsidRDefault="0008676C" w:rsidP="0008676C">
      <w:pPr>
        <w:ind w:left="360"/>
        <w:jc w:val="center"/>
      </w:pPr>
    </w:p>
    <w:p w:rsidR="00237BAA" w:rsidRDefault="0008676C" w:rsidP="002207AF">
      <w:pPr>
        <w:ind w:left="1440" w:hanging="1440"/>
      </w:pPr>
      <w:r w:rsidRPr="00000419">
        <w:rPr>
          <w:b/>
        </w:rPr>
        <w:t>QUESTION:</w:t>
      </w:r>
      <w:r w:rsidRPr="00000419">
        <w:t xml:space="preserve">  </w:t>
      </w:r>
    </w:p>
    <w:p w:rsidR="00237BAA" w:rsidRDefault="00237BAA" w:rsidP="002207AF">
      <w:pPr>
        <w:ind w:left="1440" w:hanging="1440"/>
      </w:pPr>
    </w:p>
    <w:p w:rsidR="0099088C" w:rsidRDefault="00AA22C2" w:rsidP="0082217F">
      <w:pPr>
        <w:pStyle w:val="PlainText"/>
        <w:numPr>
          <w:ilvl w:val="0"/>
          <w:numId w:val="3"/>
        </w:numPr>
      </w:pPr>
      <w:r>
        <w:rPr>
          <w:rFonts w:ascii="Times New Roman" w:hAnsi="Times New Roman"/>
          <w:sz w:val="24"/>
          <w:szCs w:val="24"/>
        </w:rPr>
        <w:t xml:space="preserve">What is the impact of delaying the debt fund tax increase? </w:t>
      </w:r>
    </w:p>
    <w:p w:rsidR="0099088C" w:rsidRPr="00000419" w:rsidRDefault="0099088C" w:rsidP="0008676C"/>
    <w:p w:rsidR="0008676C" w:rsidRDefault="0008676C" w:rsidP="00C2222B">
      <w:pPr>
        <w:rPr>
          <w:b/>
        </w:rPr>
      </w:pPr>
      <w:r w:rsidRPr="00000419">
        <w:rPr>
          <w:b/>
        </w:rPr>
        <w:t xml:space="preserve">RESPONDENT:  </w:t>
      </w:r>
      <w:r w:rsidR="00237BAA">
        <w:rPr>
          <w:b/>
        </w:rPr>
        <w:tab/>
      </w:r>
      <w:r w:rsidR="00881270">
        <w:t>Kenneth C. Pennoyer</w:t>
      </w:r>
      <w:r w:rsidR="00DA63F2">
        <w:t>, Bu</w:t>
      </w:r>
      <w:r w:rsidR="00881270">
        <w:t>siness Management Director</w:t>
      </w:r>
      <w:r w:rsidRPr="00000419">
        <w:rPr>
          <w:b/>
        </w:rPr>
        <w:t xml:space="preserve">  </w:t>
      </w:r>
    </w:p>
    <w:p w:rsidR="0008676C" w:rsidRDefault="0008676C" w:rsidP="0008676C">
      <w:pPr>
        <w:rPr>
          <w:b/>
        </w:rPr>
      </w:pPr>
    </w:p>
    <w:p w:rsidR="00AA22C2" w:rsidRDefault="0008676C" w:rsidP="0099088C">
      <w:pPr>
        <w:rPr>
          <w:iCs/>
        </w:rPr>
      </w:pPr>
      <w:r w:rsidRPr="0008676C">
        <w:rPr>
          <w:b/>
          <w:iCs/>
          <w:caps/>
        </w:rPr>
        <w:t xml:space="preserve">Response:  </w:t>
      </w:r>
      <w:r w:rsidR="00AA22C2" w:rsidRPr="00AA22C2">
        <w:rPr>
          <w:iCs/>
        </w:rPr>
        <w:t>The Debt Management Fund cash flow projection incl</w:t>
      </w:r>
      <w:r w:rsidR="00AA22C2">
        <w:rPr>
          <w:iCs/>
        </w:rPr>
        <w:t>u</w:t>
      </w:r>
      <w:r w:rsidR="00AA22C2" w:rsidRPr="00AA22C2">
        <w:rPr>
          <w:iCs/>
        </w:rPr>
        <w:t xml:space="preserve">des the following </w:t>
      </w:r>
      <w:r w:rsidR="00AA22C2">
        <w:rPr>
          <w:iCs/>
        </w:rPr>
        <w:t xml:space="preserve">assumptions regarding </w:t>
      </w:r>
      <w:r w:rsidR="00AA22C2" w:rsidRPr="00AA22C2">
        <w:rPr>
          <w:iCs/>
        </w:rPr>
        <w:t>projects</w:t>
      </w:r>
      <w:r w:rsidR="00AA22C2">
        <w:rPr>
          <w:iCs/>
        </w:rPr>
        <w:t xml:space="preserve"> that will be financed from the fund over the next 5 years (FY19-FY24).</w:t>
      </w:r>
    </w:p>
    <w:p w:rsidR="00AA22C2" w:rsidRDefault="00AA22C2" w:rsidP="0099088C">
      <w:pPr>
        <w:rPr>
          <w:iCs/>
        </w:rPr>
      </w:pPr>
    </w:p>
    <w:tbl>
      <w:tblPr>
        <w:tblStyle w:val="GridTable4-Accent5"/>
        <w:tblW w:w="0" w:type="auto"/>
        <w:tblLook w:val="04A0" w:firstRow="1" w:lastRow="0" w:firstColumn="1" w:lastColumn="0" w:noHBand="0" w:noVBand="1"/>
      </w:tblPr>
      <w:tblGrid>
        <w:gridCol w:w="2425"/>
        <w:gridCol w:w="2070"/>
        <w:gridCol w:w="1710"/>
        <w:gridCol w:w="1800"/>
        <w:gridCol w:w="1345"/>
      </w:tblGrid>
      <w:tr w:rsidR="00977E95" w:rsidTr="00977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77E95" w:rsidRDefault="00977E95" w:rsidP="0099088C">
            <w:pPr>
              <w:rPr>
                <w:iCs/>
              </w:rPr>
            </w:pPr>
          </w:p>
          <w:p w:rsidR="00977E95" w:rsidRDefault="00977E95" w:rsidP="0099088C">
            <w:pPr>
              <w:rPr>
                <w:iCs/>
              </w:rPr>
            </w:pPr>
            <w:r>
              <w:rPr>
                <w:iCs/>
              </w:rPr>
              <w:t>Project</w:t>
            </w:r>
          </w:p>
        </w:tc>
        <w:tc>
          <w:tcPr>
            <w:tcW w:w="2070" w:type="dxa"/>
          </w:tcPr>
          <w:p w:rsidR="00977E95" w:rsidRDefault="00977E95" w:rsidP="0099088C">
            <w:pPr>
              <w:cnfStyle w:val="100000000000" w:firstRow="1" w:lastRow="0" w:firstColumn="0" w:lastColumn="0" w:oddVBand="0" w:evenVBand="0" w:oddHBand="0" w:evenHBand="0" w:firstRowFirstColumn="0" w:firstRowLastColumn="0" w:lastRowFirstColumn="0" w:lastRowLastColumn="0"/>
              <w:rPr>
                <w:iCs/>
              </w:rPr>
            </w:pPr>
          </w:p>
          <w:p w:rsidR="00977E95" w:rsidRDefault="00977E95" w:rsidP="0099088C">
            <w:pPr>
              <w:cnfStyle w:val="100000000000" w:firstRow="1" w:lastRow="0" w:firstColumn="0" w:lastColumn="0" w:oddVBand="0" w:evenVBand="0" w:oddHBand="0" w:evenHBand="0" w:firstRowFirstColumn="0" w:firstRowLastColumn="0" w:lastRowFirstColumn="0" w:lastRowLastColumn="0"/>
              <w:rPr>
                <w:iCs/>
              </w:rPr>
            </w:pPr>
            <w:r>
              <w:rPr>
                <w:iCs/>
              </w:rPr>
              <w:t>Financing Cost</w:t>
            </w:r>
          </w:p>
        </w:tc>
        <w:tc>
          <w:tcPr>
            <w:tcW w:w="1710" w:type="dxa"/>
          </w:tcPr>
          <w:p w:rsidR="00977E95" w:rsidRDefault="00977E95" w:rsidP="00977E95">
            <w:pPr>
              <w:jc w:val="center"/>
              <w:cnfStyle w:val="100000000000" w:firstRow="1" w:lastRow="0" w:firstColumn="0" w:lastColumn="0" w:oddVBand="0" w:evenVBand="0" w:oddHBand="0" w:evenHBand="0" w:firstRowFirstColumn="0" w:firstRowLastColumn="0" w:lastRowFirstColumn="0" w:lastRowLastColumn="0"/>
              <w:rPr>
                <w:iCs/>
              </w:rPr>
            </w:pPr>
            <w:r>
              <w:rPr>
                <w:iCs/>
              </w:rPr>
              <w:t>Financing Date</w:t>
            </w:r>
          </w:p>
        </w:tc>
        <w:tc>
          <w:tcPr>
            <w:tcW w:w="1800" w:type="dxa"/>
          </w:tcPr>
          <w:p w:rsidR="00977E95" w:rsidRDefault="00977E95" w:rsidP="00977E95">
            <w:pPr>
              <w:jc w:val="center"/>
              <w:cnfStyle w:val="100000000000" w:firstRow="1" w:lastRow="0" w:firstColumn="0" w:lastColumn="0" w:oddVBand="0" w:evenVBand="0" w:oddHBand="0" w:evenHBand="0" w:firstRowFirstColumn="0" w:firstRowLastColumn="0" w:lastRowFirstColumn="0" w:lastRowLastColumn="0"/>
              <w:rPr>
                <w:iCs/>
              </w:rPr>
            </w:pPr>
          </w:p>
          <w:p w:rsidR="00977E95" w:rsidRDefault="00977E95" w:rsidP="00977E95">
            <w:pPr>
              <w:jc w:val="center"/>
              <w:cnfStyle w:val="100000000000" w:firstRow="1" w:lastRow="0" w:firstColumn="0" w:lastColumn="0" w:oddVBand="0" w:evenVBand="0" w:oddHBand="0" w:evenHBand="0" w:firstRowFirstColumn="0" w:firstRowLastColumn="0" w:lastRowFirstColumn="0" w:lastRowLastColumn="0"/>
              <w:rPr>
                <w:iCs/>
              </w:rPr>
            </w:pPr>
            <w:r>
              <w:rPr>
                <w:iCs/>
              </w:rPr>
              <w:t>Debt Service</w:t>
            </w:r>
          </w:p>
        </w:tc>
        <w:tc>
          <w:tcPr>
            <w:tcW w:w="1345" w:type="dxa"/>
          </w:tcPr>
          <w:p w:rsidR="00977E95" w:rsidRDefault="00977E95" w:rsidP="00977E95">
            <w:pPr>
              <w:jc w:val="center"/>
              <w:cnfStyle w:val="100000000000" w:firstRow="1" w:lastRow="0" w:firstColumn="0" w:lastColumn="0" w:oddVBand="0" w:evenVBand="0" w:oddHBand="0" w:evenHBand="0" w:firstRowFirstColumn="0" w:firstRowLastColumn="0" w:lastRowFirstColumn="0" w:lastRowLastColumn="0"/>
              <w:rPr>
                <w:iCs/>
              </w:rPr>
            </w:pPr>
            <w:r>
              <w:rPr>
                <w:iCs/>
              </w:rPr>
              <w:t>Interest Rate</w:t>
            </w:r>
          </w:p>
        </w:tc>
      </w:tr>
      <w:tr w:rsidR="00977E95" w:rsidTr="00977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77E95" w:rsidRDefault="00977E95" w:rsidP="0099088C">
            <w:pPr>
              <w:rPr>
                <w:iCs/>
              </w:rPr>
            </w:pPr>
            <w:r>
              <w:rPr>
                <w:iCs/>
              </w:rPr>
              <w:t>MSC</w:t>
            </w:r>
          </w:p>
        </w:tc>
        <w:tc>
          <w:tcPr>
            <w:tcW w:w="2070" w:type="dxa"/>
          </w:tcPr>
          <w:p w:rsidR="00977E95" w:rsidRDefault="00977E95" w:rsidP="00977E95">
            <w:pPr>
              <w:jc w:val="right"/>
              <w:cnfStyle w:val="000000100000" w:firstRow="0" w:lastRow="0" w:firstColumn="0" w:lastColumn="0" w:oddVBand="0" w:evenVBand="0" w:oddHBand="1" w:evenHBand="0" w:firstRowFirstColumn="0" w:firstRowLastColumn="0" w:lastRowFirstColumn="0" w:lastRowLastColumn="0"/>
              <w:rPr>
                <w:iCs/>
              </w:rPr>
            </w:pPr>
            <w:r>
              <w:rPr>
                <w:iCs/>
              </w:rPr>
              <w:t>$ 34,100,000</w:t>
            </w:r>
          </w:p>
        </w:tc>
        <w:tc>
          <w:tcPr>
            <w:tcW w:w="1710" w:type="dxa"/>
          </w:tcPr>
          <w:p w:rsidR="00977E95" w:rsidRDefault="00977E95" w:rsidP="00977E95">
            <w:pPr>
              <w:jc w:val="center"/>
              <w:cnfStyle w:val="000000100000" w:firstRow="0" w:lastRow="0" w:firstColumn="0" w:lastColumn="0" w:oddVBand="0" w:evenVBand="0" w:oddHBand="1" w:evenHBand="0" w:firstRowFirstColumn="0" w:firstRowLastColumn="0" w:lastRowFirstColumn="0" w:lastRowLastColumn="0"/>
              <w:rPr>
                <w:iCs/>
              </w:rPr>
            </w:pPr>
            <w:r>
              <w:rPr>
                <w:iCs/>
              </w:rPr>
              <w:t>5/01/19</w:t>
            </w:r>
          </w:p>
        </w:tc>
        <w:tc>
          <w:tcPr>
            <w:tcW w:w="1800" w:type="dxa"/>
          </w:tcPr>
          <w:p w:rsidR="00977E95" w:rsidRDefault="00977E95" w:rsidP="00977E95">
            <w:pPr>
              <w:jc w:val="right"/>
              <w:cnfStyle w:val="000000100000" w:firstRow="0" w:lastRow="0" w:firstColumn="0" w:lastColumn="0" w:oddVBand="0" w:evenVBand="0" w:oddHBand="1" w:evenHBand="0" w:firstRowFirstColumn="0" w:firstRowLastColumn="0" w:lastRowFirstColumn="0" w:lastRowLastColumn="0"/>
              <w:rPr>
                <w:iCs/>
              </w:rPr>
            </w:pPr>
            <w:r>
              <w:rPr>
                <w:iCs/>
              </w:rPr>
              <w:t>$ 2,430,000</w:t>
            </w:r>
          </w:p>
        </w:tc>
        <w:tc>
          <w:tcPr>
            <w:tcW w:w="1345" w:type="dxa"/>
          </w:tcPr>
          <w:p w:rsidR="00977E95" w:rsidRDefault="00977E95" w:rsidP="00977E95">
            <w:pPr>
              <w:jc w:val="center"/>
              <w:cnfStyle w:val="000000100000" w:firstRow="0" w:lastRow="0" w:firstColumn="0" w:lastColumn="0" w:oddVBand="0" w:evenVBand="0" w:oddHBand="1" w:evenHBand="0" w:firstRowFirstColumn="0" w:firstRowLastColumn="0" w:lastRowFirstColumn="0" w:lastRowLastColumn="0"/>
              <w:rPr>
                <w:iCs/>
              </w:rPr>
            </w:pPr>
            <w:r>
              <w:rPr>
                <w:iCs/>
              </w:rPr>
              <w:t>4.0%</w:t>
            </w:r>
          </w:p>
        </w:tc>
      </w:tr>
      <w:tr w:rsidR="00977E95" w:rsidTr="00977E95">
        <w:tc>
          <w:tcPr>
            <w:cnfStyle w:val="001000000000" w:firstRow="0" w:lastRow="0" w:firstColumn="1" w:lastColumn="0" w:oddVBand="0" w:evenVBand="0" w:oddHBand="0" w:evenHBand="0" w:firstRowFirstColumn="0" w:firstRowLastColumn="0" w:lastRowFirstColumn="0" w:lastRowLastColumn="0"/>
            <w:tcW w:w="2425" w:type="dxa"/>
          </w:tcPr>
          <w:p w:rsidR="00977E95" w:rsidRDefault="00977E95" w:rsidP="00977E95">
            <w:pPr>
              <w:rPr>
                <w:iCs/>
              </w:rPr>
            </w:pPr>
            <w:r>
              <w:rPr>
                <w:iCs/>
              </w:rPr>
              <w:t>Wallace Deck</w:t>
            </w:r>
          </w:p>
        </w:tc>
        <w:tc>
          <w:tcPr>
            <w:tcW w:w="2070" w:type="dxa"/>
          </w:tcPr>
          <w:p w:rsidR="00977E95" w:rsidRDefault="00977E95" w:rsidP="00977E95">
            <w:pPr>
              <w:jc w:val="right"/>
              <w:cnfStyle w:val="000000000000" w:firstRow="0" w:lastRow="0" w:firstColumn="0" w:lastColumn="0" w:oddVBand="0" w:evenVBand="0" w:oddHBand="0" w:evenHBand="0" w:firstRowFirstColumn="0" w:firstRowLastColumn="0" w:lastRowFirstColumn="0" w:lastRowLastColumn="0"/>
              <w:rPr>
                <w:iCs/>
              </w:rPr>
            </w:pPr>
            <w:r>
              <w:rPr>
                <w:iCs/>
              </w:rPr>
              <w:t>2,400,000</w:t>
            </w:r>
          </w:p>
        </w:tc>
        <w:tc>
          <w:tcPr>
            <w:tcW w:w="1710" w:type="dxa"/>
          </w:tcPr>
          <w:p w:rsidR="00977E95" w:rsidRDefault="00977E95" w:rsidP="00977E95">
            <w:pPr>
              <w:jc w:val="center"/>
              <w:cnfStyle w:val="000000000000" w:firstRow="0" w:lastRow="0" w:firstColumn="0" w:lastColumn="0" w:oddVBand="0" w:evenVBand="0" w:oddHBand="0" w:evenHBand="0" w:firstRowFirstColumn="0" w:firstRowLastColumn="0" w:lastRowFirstColumn="0" w:lastRowLastColumn="0"/>
            </w:pPr>
            <w:r w:rsidRPr="00533E57">
              <w:rPr>
                <w:iCs/>
              </w:rPr>
              <w:t>5/01/19</w:t>
            </w:r>
          </w:p>
        </w:tc>
        <w:tc>
          <w:tcPr>
            <w:tcW w:w="1800" w:type="dxa"/>
          </w:tcPr>
          <w:p w:rsidR="00977E95" w:rsidRDefault="00977E95" w:rsidP="00977E95">
            <w:pPr>
              <w:jc w:val="right"/>
              <w:cnfStyle w:val="000000000000" w:firstRow="0" w:lastRow="0" w:firstColumn="0" w:lastColumn="0" w:oddVBand="0" w:evenVBand="0" w:oddHBand="0" w:evenHBand="0" w:firstRowFirstColumn="0" w:firstRowLastColumn="0" w:lastRowFirstColumn="0" w:lastRowLastColumn="0"/>
              <w:rPr>
                <w:iCs/>
              </w:rPr>
            </w:pPr>
            <w:r>
              <w:rPr>
                <w:iCs/>
              </w:rPr>
              <w:t>171,000</w:t>
            </w:r>
          </w:p>
        </w:tc>
        <w:tc>
          <w:tcPr>
            <w:tcW w:w="1345" w:type="dxa"/>
          </w:tcPr>
          <w:p w:rsidR="00977E95" w:rsidRDefault="00977E95" w:rsidP="00977E95">
            <w:pPr>
              <w:jc w:val="center"/>
              <w:cnfStyle w:val="000000000000" w:firstRow="0" w:lastRow="0" w:firstColumn="0" w:lastColumn="0" w:oddVBand="0" w:evenVBand="0" w:oddHBand="0" w:evenHBand="0" w:firstRowFirstColumn="0" w:firstRowLastColumn="0" w:lastRowFirstColumn="0" w:lastRowLastColumn="0"/>
            </w:pPr>
            <w:r w:rsidRPr="006C318E">
              <w:rPr>
                <w:iCs/>
              </w:rPr>
              <w:t>4.0%</w:t>
            </w:r>
          </w:p>
        </w:tc>
      </w:tr>
      <w:tr w:rsidR="00977E95" w:rsidTr="00977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77E95" w:rsidRDefault="00977E95" w:rsidP="00977E95">
            <w:pPr>
              <w:rPr>
                <w:iCs/>
              </w:rPr>
            </w:pPr>
            <w:r>
              <w:rPr>
                <w:iCs/>
              </w:rPr>
              <w:t>Affordable Housing</w:t>
            </w:r>
          </w:p>
        </w:tc>
        <w:tc>
          <w:tcPr>
            <w:tcW w:w="2070" w:type="dxa"/>
          </w:tcPr>
          <w:p w:rsidR="00977E95" w:rsidRDefault="00977E95" w:rsidP="00977E95">
            <w:pPr>
              <w:jc w:val="right"/>
              <w:cnfStyle w:val="000000100000" w:firstRow="0" w:lastRow="0" w:firstColumn="0" w:lastColumn="0" w:oddVBand="0" w:evenVBand="0" w:oddHBand="1" w:evenHBand="0" w:firstRowFirstColumn="0" w:firstRowLastColumn="0" w:lastRowFirstColumn="0" w:lastRowLastColumn="0"/>
              <w:rPr>
                <w:iCs/>
              </w:rPr>
            </w:pPr>
            <w:r>
              <w:rPr>
                <w:iCs/>
              </w:rPr>
              <w:t>5,000,000</w:t>
            </w:r>
          </w:p>
        </w:tc>
        <w:tc>
          <w:tcPr>
            <w:tcW w:w="1710" w:type="dxa"/>
          </w:tcPr>
          <w:p w:rsidR="00977E95" w:rsidRDefault="00977E95" w:rsidP="00977E95">
            <w:pPr>
              <w:jc w:val="center"/>
              <w:cnfStyle w:val="000000100000" w:firstRow="0" w:lastRow="0" w:firstColumn="0" w:lastColumn="0" w:oddVBand="0" w:evenVBand="0" w:oddHBand="1" w:evenHBand="0" w:firstRowFirstColumn="0" w:firstRowLastColumn="0" w:lastRowFirstColumn="0" w:lastRowLastColumn="0"/>
            </w:pPr>
            <w:r w:rsidRPr="00533E57">
              <w:rPr>
                <w:iCs/>
              </w:rPr>
              <w:t>5/01/19</w:t>
            </w:r>
          </w:p>
        </w:tc>
        <w:tc>
          <w:tcPr>
            <w:tcW w:w="1800" w:type="dxa"/>
          </w:tcPr>
          <w:p w:rsidR="00977E95" w:rsidRDefault="00977E95" w:rsidP="00977E95">
            <w:pPr>
              <w:jc w:val="right"/>
              <w:cnfStyle w:val="000000100000" w:firstRow="0" w:lastRow="0" w:firstColumn="0" w:lastColumn="0" w:oddVBand="0" w:evenVBand="0" w:oddHBand="1" w:evenHBand="0" w:firstRowFirstColumn="0" w:firstRowLastColumn="0" w:lastRowFirstColumn="0" w:lastRowLastColumn="0"/>
              <w:rPr>
                <w:iCs/>
              </w:rPr>
            </w:pPr>
            <w:r>
              <w:rPr>
                <w:iCs/>
              </w:rPr>
              <w:t>360,000</w:t>
            </w:r>
          </w:p>
        </w:tc>
        <w:tc>
          <w:tcPr>
            <w:tcW w:w="1345" w:type="dxa"/>
          </w:tcPr>
          <w:p w:rsidR="00977E95" w:rsidRDefault="00977E95" w:rsidP="00977E95">
            <w:pPr>
              <w:jc w:val="center"/>
              <w:cnfStyle w:val="000000100000" w:firstRow="0" w:lastRow="0" w:firstColumn="0" w:lastColumn="0" w:oddVBand="0" w:evenVBand="0" w:oddHBand="1" w:evenHBand="0" w:firstRowFirstColumn="0" w:firstRowLastColumn="0" w:lastRowFirstColumn="0" w:lastRowLastColumn="0"/>
            </w:pPr>
            <w:r w:rsidRPr="006C318E">
              <w:rPr>
                <w:iCs/>
              </w:rPr>
              <w:t>4.0%</w:t>
            </w:r>
          </w:p>
        </w:tc>
      </w:tr>
      <w:tr w:rsidR="00977E95" w:rsidTr="00977E95">
        <w:tc>
          <w:tcPr>
            <w:cnfStyle w:val="001000000000" w:firstRow="0" w:lastRow="0" w:firstColumn="1" w:lastColumn="0" w:oddVBand="0" w:evenVBand="0" w:oddHBand="0" w:evenHBand="0" w:firstRowFirstColumn="0" w:firstRowLastColumn="0" w:lastRowFirstColumn="0" w:lastRowLastColumn="0"/>
            <w:tcW w:w="2425" w:type="dxa"/>
          </w:tcPr>
          <w:p w:rsidR="00977E95" w:rsidRDefault="00977E95" w:rsidP="00977E95">
            <w:pPr>
              <w:rPr>
                <w:iCs/>
              </w:rPr>
            </w:pPr>
            <w:r>
              <w:rPr>
                <w:iCs/>
              </w:rPr>
              <w:t>Blue Hill Phase II</w:t>
            </w:r>
          </w:p>
        </w:tc>
        <w:tc>
          <w:tcPr>
            <w:tcW w:w="2070" w:type="dxa"/>
          </w:tcPr>
          <w:p w:rsidR="00977E95" w:rsidRDefault="00977E95" w:rsidP="00977E95">
            <w:pPr>
              <w:jc w:val="right"/>
              <w:cnfStyle w:val="000000000000" w:firstRow="0" w:lastRow="0" w:firstColumn="0" w:lastColumn="0" w:oddVBand="0" w:evenVBand="0" w:oddHBand="0" w:evenHBand="0" w:firstRowFirstColumn="0" w:firstRowLastColumn="0" w:lastRowFirstColumn="0" w:lastRowLastColumn="0"/>
              <w:rPr>
                <w:iCs/>
              </w:rPr>
            </w:pPr>
            <w:r>
              <w:rPr>
                <w:iCs/>
              </w:rPr>
              <w:t>2,600,000</w:t>
            </w:r>
          </w:p>
        </w:tc>
        <w:tc>
          <w:tcPr>
            <w:tcW w:w="1710" w:type="dxa"/>
          </w:tcPr>
          <w:p w:rsidR="00977E95" w:rsidRDefault="00977E95" w:rsidP="00977E95">
            <w:pPr>
              <w:jc w:val="center"/>
              <w:cnfStyle w:val="000000000000" w:firstRow="0" w:lastRow="0" w:firstColumn="0" w:lastColumn="0" w:oddVBand="0" w:evenVBand="0" w:oddHBand="0" w:evenHBand="0" w:firstRowFirstColumn="0" w:firstRowLastColumn="0" w:lastRowFirstColumn="0" w:lastRowLastColumn="0"/>
            </w:pPr>
            <w:r w:rsidRPr="00533E57">
              <w:rPr>
                <w:iCs/>
              </w:rPr>
              <w:t>5/01/19</w:t>
            </w:r>
          </w:p>
        </w:tc>
        <w:tc>
          <w:tcPr>
            <w:tcW w:w="1800" w:type="dxa"/>
          </w:tcPr>
          <w:p w:rsidR="00977E95" w:rsidRDefault="00977E95" w:rsidP="00977E95">
            <w:pPr>
              <w:jc w:val="right"/>
              <w:cnfStyle w:val="000000000000" w:firstRow="0" w:lastRow="0" w:firstColumn="0" w:lastColumn="0" w:oddVBand="0" w:evenVBand="0" w:oddHBand="0" w:evenHBand="0" w:firstRowFirstColumn="0" w:firstRowLastColumn="0" w:lastRowFirstColumn="0" w:lastRowLastColumn="0"/>
              <w:rPr>
                <w:iCs/>
              </w:rPr>
            </w:pPr>
            <w:r>
              <w:rPr>
                <w:iCs/>
              </w:rPr>
              <w:t>184,600</w:t>
            </w:r>
          </w:p>
        </w:tc>
        <w:tc>
          <w:tcPr>
            <w:tcW w:w="1345" w:type="dxa"/>
          </w:tcPr>
          <w:p w:rsidR="00977E95" w:rsidRDefault="00977E95" w:rsidP="00977E95">
            <w:pPr>
              <w:jc w:val="center"/>
              <w:cnfStyle w:val="000000000000" w:firstRow="0" w:lastRow="0" w:firstColumn="0" w:lastColumn="0" w:oddVBand="0" w:evenVBand="0" w:oddHBand="0" w:evenHBand="0" w:firstRowFirstColumn="0" w:firstRowLastColumn="0" w:lastRowFirstColumn="0" w:lastRowLastColumn="0"/>
            </w:pPr>
            <w:r w:rsidRPr="006C318E">
              <w:rPr>
                <w:iCs/>
              </w:rPr>
              <w:t>4.0%</w:t>
            </w:r>
          </w:p>
        </w:tc>
      </w:tr>
      <w:tr w:rsidR="00977E95" w:rsidTr="00977E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77E95" w:rsidRDefault="00977E95" w:rsidP="00977E95">
            <w:pPr>
              <w:rPr>
                <w:iCs/>
              </w:rPr>
            </w:pPr>
            <w:r>
              <w:rPr>
                <w:iCs/>
              </w:rPr>
              <w:t>Affordable Housing</w:t>
            </w:r>
          </w:p>
        </w:tc>
        <w:tc>
          <w:tcPr>
            <w:tcW w:w="2070" w:type="dxa"/>
          </w:tcPr>
          <w:p w:rsidR="00977E95" w:rsidRDefault="00977E95" w:rsidP="00977E95">
            <w:pPr>
              <w:jc w:val="right"/>
              <w:cnfStyle w:val="000000100000" w:firstRow="0" w:lastRow="0" w:firstColumn="0" w:lastColumn="0" w:oddVBand="0" w:evenVBand="0" w:oddHBand="1" w:evenHBand="0" w:firstRowFirstColumn="0" w:firstRowLastColumn="0" w:lastRowFirstColumn="0" w:lastRowLastColumn="0"/>
              <w:rPr>
                <w:iCs/>
              </w:rPr>
            </w:pPr>
            <w:r>
              <w:rPr>
                <w:iCs/>
              </w:rPr>
              <w:t>5,000,000</w:t>
            </w:r>
          </w:p>
        </w:tc>
        <w:tc>
          <w:tcPr>
            <w:tcW w:w="1710" w:type="dxa"/>
          </w:tcPr>
          <w:p w:rsidR="00977E95" w:rsidRDefault="00977E95" w:rsidP="00977E95">
            <w:pPr>
              <w:jc w:val="center"/>
              <w:cnfStyle w:val="000000100000" w:firstRow="0" w:lastRow="0" w:firstColumn="0" w:lastColumn="0" w:oddVBand="0" w:evenVBand="0" w:oddHBand="1" w:evenHBand="0" w:firstRowFirstColumn="0" w:firstRowLastColumn="0" w:lastRowFirstColumn="0" w:lastRowLastColumn="0"/>
              <w:rPr>
                <w:iCs/>
              </w:rPr>
            </w:pPr>
            <w:r>
              <w:rPr>
                <w:iCs/>
              </w:rPr>
              <w:t>7/01/20</w:t>
            </w:r>
          </w:p>
        </w:tc>
        <w:tc>
          <w:tcPr>
            <w:tcW w:w="1800" w:type="dxa"/>
          </w:tcPr>
          <w:p w:rsidR="00977E95" w:rsidRDefault="00977E95" w:rsidP="00977E95">
            <w:pPr>
              <w:jc w:val="right"/>
              <w:cnfStyle w:val="000000100000" w:firstRow="0" w:lastRow="0" w:firstColumn="0" w:lastColumn="0" w:oddVBand="0" w:evenVBand="0" w:oddHBand="1" w:evenHBand="0" w:firstRowFirstColumn="0" w:firstRowLastColumn="0" w:lastRowFirstColumn="0" w:lastRowLastColumn="0"/>
              <w:rPr>
                <w:iCs/>
              </w:rPr>
            </w:pPr>
            <w:r>
              <w:rPr>
                <w:iCs/>
              </w:rPr>
              <w:t>372,000</w:t>
            </w:r>
          </w:p>
        </w:tc>
        <w:tc>
          <w:tcPr>
            <w:tcW w:w="1345" w:type="dxa"/>
          </w:tcPr>
          <w:p w:rsidR="00977E95" w:rsidRDefault="00977E95" w:rsidP="00977E95">
            <w:pPr>
              <w:jc w:val="center"/>
              <w:cnfStyle w:val="000000100000" w:firstRow="0" w:lastRow="0" w:firstColumn="0" w:lastColumn="0" w:oddVBand="0" w:evenVBand="0" w:oddHBand="1" w:evenHBand="0" w:firstRowFirstColumn="0" w:firstRowLastColumn="0" w:lastRowFirstColumn="0" w:lastRowLastColumn="0"/>
            </w:pPr>
            <w:r w:rsidRPr="006C318E">
              <w:rPr>
                <w:iCs/>
              </w:rPr>
              <w:t>4.</w:t>
            </w:r>
            <w:r>
              <w:rPr>
                <w:iCs/>
              </w:rPr>
              <w:t>5</w:t>
            </w:r>
            <w:r w:rsidRPr="006C318E">
              <w:rPr>
                <w:iCs/>
              </w:rPr>
              <w:t>%</w:t>
            </w:r>
          </w:p>
        </w:tc>
      </w:tr>
      <w:tr w:rsidR="00977E95" w:rsidTr="00977E95">
        <w:tc>
          <w:tcPr>
            <w:cnfStyle w:val="001000000000" w:firstRow="0" w:lastRow="0" w:firstColumn="1" w:lastColumn="0" w:oddVBand="0" w:evenVBand="0" w:oddHBand="0" w:evenHBand="0" w:firstRowFirstColumn="0" w:firstRowLastColumn="0" w:lastRowFirstColumn="0" w:lastRowLastColumn="0"/>
            <w:tcW w:w="2425" w:type="dxa"/>
          </w:tcPr>
          <w:p w:rsidR="00977E95" w:rsidRDefault="00977E95" w:rsidP="00977E95">
            <w:pPr>
              <w:rPr>
                <w:iCs/>
              </w:rPr>
            </w:pPr>
            <w:r>
              <w:rPr>
                <w:iCs/>
              </w:rPr>
              <w:t>Streets &amp; Sidewalks</w:t>
            </w:r>
          </w:p>
        </w:tc>
        <w:tc>
          <w:tcPr>
            <w:tcW w:w="2070" w:type="dxa"/>
          </w:tcPr>
          <w:p w:rsidR="00977E95" w:rsidRDefault="00977E95" w:rsidP="00977E95">
            <w:pPr>
              <w:jc w:val="right"/>
              <w:cnfStyle w:val="000000000000" w:firstRow="0" w:lastRow="0" w:firstColumn="0" w:lastColumn="0" w:oddVBand="0" w:evenVBand="0" w:oddHBand="0" w:evenHBand="0" w:firstRowFirstColumn="0" w:firstRowLastColumn="0" w:lastRowFirstColumn="0" w:lastRowLastColumn="0"/>
              <w:rPr>
                <w:iCs/>
              </w:rPr>
            </w:pPr>
            <w:r>
              <w:rPr>
                <w:iCs/>
              </w:rPr>
              <w:t>7,700,000</w:t>
            </w:r>
          </w:p>
        </w:tc>
        <w:tc>
          <w:tcPr>
            <w:tcW w:w="1710" w:type="dxa"/>
          </w:tcPr>
          <w:p w:rsidR="00977E95" w:rsidRDefault="00977E95" w:rsidP="00977E95">
            <w:pPr>
              <w:jc w:val="center"/>
              <w:cnfStyle w:val="000000000000" w:firstRow="0" w:lastRow="0" w:firstColumn="0" w:lastColumn="0" w:oddVBand="0" w:evenVBand="0" w:oddHBand="0" w:evenHBand="0" w:firstRowFirstColumn="0" w:firstRowLastColumn="0" w:lastRowFirstColumn="0" w:lastRowLastColumn="0"/>
              <w:rPr>
                <w:iCs/>
              </w:rPr>
            </w:pPr>
            <w:r>
              <w:rPr>
                <w:iCs/>
              </w:rPr>
              <w:t>7/01/21</w:t>
            </w:r>
          </w:p>
        </w:tc>
        <w:tc>
          <w:tcPr>
            <w:tcW w:w="1800" w:type="dxa"/>
          </w:tcPr>
          <w:p w:rsidR="00977E95" w:rsidRDefault="00977E95" w:rsidP="00977E95">
            <w:pPr>
              <w:jc w:val="right"/>
              <w:cnfStyle w:val="000000000000" w:firstRow="0" w:lastRow="0" w:firstColumn="0" w:lastColumn="0" w:oddVBand="0" w:evenVBand="0" w:oddHBand="0" w:evenHBand="0" w:firstRowFirstColumn="0" w:firstRowLastColumn="0" w:lastRowFirstColumn="0" w:lastRowLastColumn="0"/>
              <w:rPr>
                <w:iCs/>
              </w:rPr>
            </w:pPr>
            <w:r>
              <w:rPr>
                <w:iCs/>
              </w:rPr>
              <w:t>592,844</w:t>
            </w:r>
          </w:p>
        </w:tc>
        <w:tc>
          <w:tcPr>
            <w:tcW w:w="1345" w:type="dxa"/>
          </w:tcPr>
          <w:p w:rsidR="00977E95" w:rsidRDefault="00977E95" w:rsidP="00977E95">
            <w:pPr>
              <w:jc w:val="center"/>
              <w:cnfStyle w:val="000000000000" w:firstRow="0" w:lastRow="0" w:firstColumn="0" w:lastColumn="0" w:oddVBand="0" w:evenVBand="0" w:oddHBand="0" w:evenHBand="0" w:firstRowFirstColumn="0" w:firstRowLastColumn="0" w:lastRowFirstColumn="0" w:lastRowLastColumn="0"/>
            </w:pPr>
            <w:r>
              <w:rPr>
                <w:iCs/>
              </w:rPr>
              <w:t>5</w:t>
            </w:r>
            <w:r w:rsidRPr="006C318E">
              <w:rPr>
                <w:iCs/>
              </w:rPr>
              <w:t>.0%</w:t>
            </w:r>
          </w:p>
        </w:tc>
      </w:tr>
    </w:tbl>
    <w:p w:rsidR="002B469F" w:rsidRDefault="002B469F" w:rsidP="0099088C">
      <w:pPr>
        <w:rPr>
          <w:iCs/>
        </w:rPr>
      </w:pPr>
    </w:p>
    <w:p w:rsidR="00824DED" w:rsidRPr="00824DED" w:rsidRDefault="00824DED" w:rsidP="0099088C">
      <w:pPr>
        <w:rPr>
          <w:b/>
          <w:iCs/>
        </w:rPr>
      </w:pPr>
      <w:r w:rsidRPr="00824DED">
        <w:rPr>
          <w:b/>
          <w:iCs/>
        </w:rPr>
        <w:t xml:space="preserve">Affordable Housing </w:t>
      </w:r>
      <w:r w:rsidR="00B422DB">
        <w:rPr>
          <w:b/>
          <w:iCs/>
        </w:rPr>
        <w:t xml:space="preserve">(AH) </w:t>
      </w:r>
      <w:r w:rsidRPr="00824DED">
        <w:rPr>
          <w:b/>
          <w:iCs/>
        </w:rPr>
        <w:t>Bonds</w:t>
      </w:r>
    </w:p>
    <w:p w:rsidR="00AA22C2" w:rsidRDefault="00977E95" w:rsidP="0099088C">
      <w:pPr>
        <w:rPr>
          <w:iCs/>
        </w:rPr>
      </w:pPr>
      <w:r>
        <w:rPr>
          <w:iCs/>
        </w:rPr>
        <w:t>It is assumed tha</w:t>
      </w:r>
      <w:r w:rsidR="00824DED">
        <w:rPr>
          <w:iCs/>
        </w:rPr>
        <w:t>t</w:t>
      </w:r>
      <w:r>
        <w:rPr>
          <w:iCs/>
        </w:rPr>
        <w:t xml:space="preserve"> the Debt Fund tax rate will be increased in the year that the affordable housing bonds are issued in an amount sufficient to cover the additional debt service cost.  Based on </w:t>
      </w:r>
      <w:r w:rsidR="00A26E4B">
        <w:rPr>
          <w:iCs/>
        </w:rPr>
        <w:t xml:space="preserve">the </w:t>
      </w:r>
      <w:r>
        <w:rPr>
          <w:iCs/>
        </w:rPr>
        <w:t xml:space="preserve">assumptions above the rate increase needed would </w:t>
      </w:r>
      <w:r w:rsidR="00824DED">
        <w:rPr>
          <w:iCs/>
        </w:rPr>
        <w:t>total one penny, applied as follows</w:t>
      </w:r>
      <w:r>
        <w:rPr>
          <w:iCs/>
        </w:rPr>
        <w:t>:</w:t>
      </w:r>
    </w:p>
    <w:p w:rsidR="00977E95" w:rsidRDefault="00977E95" w:rsidP="0099088C">
      <w:pPr>
        <w:rPr>
          <w:iCs/>
        </w:rPr>
      </w:pPr>
      <w:r>
        <w:rPr>
          <w:iCs/>
        </w:rPr>
        <w:t>FY20 – 0.5 cents</w:t>
      </w:r>
    </w:p>
    <w:p w:rsidR="00977E95" w:rsidRDefault="00977E95" w:rsidP="0099088C">
      <w:pPr>
        <w:rPr>
          <w:iCs/>
        </w:rPr>
      </w:pPr>
      <w:r>
        <w:rPr>
          <w:iCs/>
        </w:rPr>
        <w:t>FY21 – 0.5 cents</w:t>
      </w:r>
    </w:p>
    <w:p w:rsidR="00824DED" w:rsidRDefault="00824DED" w:rsidP="0099088C">
      <w:pPr>
        <w:rPr>
          <w:iCs/>
        </w:rPr>
      </w:pPr>
    </w:p>
    <w:p w:rsidR="00113E5A" w:rsidRPr="00113E5A" w:rsidRDefault="00113E5A" w:rsidP="0099088C">
      <w:pPr>
        <w:rPr>
          <w:b/>
          <w:iCs/>
        </w:rPr>
      </w:pPr>
      <w:r w:rsidRPr="00113E5A">
        <w:rPr>
          <w:b/>
          <w:iCs/>
        </w:rPr>
        <w:t>Debt Fund Cash Flow</w:t>
      </w:r>
      <w:r>
        <w:rPr>
          <w:b/>
          <w:iCs/>
        </w:rPr>
        <w:t xml:space="preserve"> (not including AH Bonds)</w:t>
      </w:r>
    </w:p>
    <w:p w:rsidR="00B422DB" w:rsidRDefault="00113E5A" w:rsidP="0099088C">
      <w:pPr>
        <w:rPr>
          <w:iCs/>
        </w:rPr>
      </w:pPr>
      <w:r>
        <w:rPr>
          <w:iCs/>
        </w:rPr>
        <w:t>In order to keep the Debt Fund from experiencing negative cash flow one of two things needs to happen.  Either the capital financing plan described above needs to be delayed or reduced significantly or the dedicated property tax needs to be increased.  The amount of property tax</w:t>
      </w:r>
      <w:r w:rsidR="00A26E4B">
        <w:rPr>
          <w:iCs/>
        </w:rPr>
        <w:t xml:space="preserve"> increase</w:t>
      </w:r>
      <w:r>
        <w:rPr>
          <w:iCs/>
        </w:rPr>
        <w:t xml:space="preserve"> needed depends on the year the tax is applied.  The low-point for cash flow is FY</w:t>
      </w:r>
      <w:r w:rsidR="00B422DB">
        <w:rPr>
          <w:iCs/>
        </w:rPr>
        <w:t>2024-25, therefore the tax rate increase do</w:t>
      </w:r>
      <w:r w:rsidR="00A26E4B">
        <w:rPr>
          <w:iCs/>
        </w:rPr>
        <w:t>e</w:t>
      </w:r>
      <w:r w:rsidR="00B422DB">
        <w:rPr>
          <w:iCs/>
        </w:rPr>
        <w:t>s not have to be instituted immediately however it does get more expensive with each year of delay.</w:t>
      </w:r>
    </w:p>
    <w:p w:rsidR="00B422DB" w:rsidRDefault="00B422DB" w:rsidP="0099088C">
      <w:pPr>
        <w:rPr>
          <w:iCs/>
        </w:rPr>
      </w:pPr>
    </w:p>
    <w:p w:rsidR="00B422DB" w:rsidRPr="00B422DB" w:rsidRDefault="00B422DB" w:rsidP="0099088C">
      <w:pPr>
        <w:rPr>
          <w:i/>
          <w:iCs/>
          <w:sz w:val="20"/>
          <w:szCs w:val="20"/>
        </w:rPr>
      </w:pPr>
      <w:r w:rsidRPr="00B422DB">
        <w:rPr>
          <w:b/>
          <w:iCs/>
        </w:rPr>
        <w:t>Tax rate increase needed</w:t>
      </w:r>
      <w:r>
        <w:rPr>
          <w:iCs/>
        </w:rPr>
        <w:t xml:space="preserve"> </w:t>
      </w:r>
      <w:r w:rsidRPr="00B422DB">
        <w:rPr>
          <w:i/>
          <w:iCs/>
          <w:sz w:val="20"/>
          <w:szCs w:val="20"/>
        </w:rPr>
        <w:t>(</w:t>
      </w:r>
      <w:r>
        <w:rPr>
          <w:i/>
          <w:iCs/>
          <w:sz w:val="20"/>
          <w:szCs w:val="20"/>
        </w:rPr>
        <w:t>not including AH b</w:t>
      </w:r>
      <w:r w:rsidRPr="00B422DB">
        <w:rPr>
          <w:i/>
          <w:iCs/>
          <w:sz w:val="20"/>
          <w:szCs w:val="20"/>
        </w:rPr>
        <w:t xml:space="preserve">onds) </w:t>
      </w:r>
    </w:p>
    <w:p w:rsidR="00B422DB" w:rsidRDefault="00B422DB" w:rsidP="0099088C">
      <w:pPr>
        <w:rPr>
          <w:iCs/>
        </w:rPr>
      </w:pPr>
      <w:r>
        <w:rPr>
          <w:iCs/>
        </w:rPr>
        <w:t>FY2018-19 - 0.80 cents</w:t>
      </w:r>
    </w:p>
    <w:p w:rsidR="00B422DB" w:rsidRDefault="00B422DB" w:rsidP="0099088C">
      <w:pPr>
        <w:rPr>
          <w:iCs/>
        </w:rPr>
      </w:pPr>
      <w:r>
        <w:rPr>
          <w:iCs/>
        </w:rPr>
        <w:t>FY2019-20 – 0.95 cents</w:t>
      </w:r>
    </w:p>
    <w:p w:rsidR="00B422DB" w:rsidRDefault="00B422DB" w:rsidP="0099088C">
      <w:pPr>
        <w:rPr>
          <w:iCs/>
        </w:rPr>
      </w:pPr>
      <w:r>
        <w:rPr>
          <w:iCs/>
        </w:rPr>
        <w:t>FY2020-21 – 1.15 cents</w:t>
      </w:r>
    </w:p>
    <w:p w:rsidR="00B422DB" w:rsidRDefault="00B422DB" w:rsidP="0099088C">
      <w:pPr>
        <w:rPr>
          <w:iCs/>
        </w:rPr>
      </w:pPr>
      <w:r>
        <w:rPr>
          <w:iCs/>
        </w:rPr>
        <w:t>FY2021-22 – 1.35 cents</w:t>
      </w:r>
    </w:p>
    <w:p w:rsidR="00113E5A" w:rsidRDefault="00B422DB" w:rsidP="0099088C">
      <w:pPr>
        <w:rPr>
          <w:iCs/>
        </w:rPr>
      </w:pPr>
      <w:r>
        <w:rPr>
          <w:iCs/>
        </w:rPr>
        <w:t>FY2022-23 – 2.0 cents</w:t>
      </w:r>
      <w:r w:rsidR="00113E5A">
        <w:rPr>
          <w:iCs/>
        </w:rPr>
        <w:t xml:space="preserve">   </w:t>
      </w:r>
    </w:p>
    <w:p w:rsidR="00AA22C2" w:rsidRDefault="00AA22C2" w:rsidP="0099088C">
      <w:pPr>
        <w:rPr>
          <w:iCs/>
        </w:rPr>
      </w:pPr>
    </w:p>
    <w:p w:rsidR="00AA22C2" w:rsidRDefault="00AA22C2" w:rsidP="0099088C">
      <w:pPr>
        <w:rPr>
          <w:iCs/>
        </w:rPr>
      </w:pPr>
    </w:p>
    <w:p w:rsidR="00B422DB" w:rsidRPr="00B422DB" w:rsidRDefault="00B422DB" w:rsidP="0099088C">
      <w:pPr>
        <w:rPr>
          <w:b/>
          <w:iCs/>
        </w:rPr>
      </w:pPr>
      <w:r w:rsidRPr="00B422DB">
        <w:rPr>
          <w:b/>
          <w:iCs/>
        </w:rPr>
        <w:lastRenderedPageBreak/>
        <w:t>Delaying or Reducing Projects</w:t>
      </w:r>
    </w:p>
    <w:p w:rsidR="00D97DEF" w:rsidRDefault="004D446C" w:rsidP="0099088C">
      <w:pPr>
        <w:rPr>
          <w:iCs/>
        </w:rPr>
      </w:pPr>
      <w:r>
        <w:rPr>
          <w:iCs/>
        </w:rPr>
        <w:t xml:space="preserve">The MSC represents the bulk of the Town’s planned borrowing for the next 5 years, therefore any change to projects to delay or avoid a tax increase in the debt fund would impact that project.  </w:t>
      </w:r>
      <w:r w:rsidR="00B422DB">
        <w:rPr>
          <w:iCs/>
        </w:rPr>
        <w:t xml:space="preserve">In order to avoid a tax increase in the debt fund </w:t>
      </w:r>
      <w:r>
        <w:rPr>
          <w:iCs/>
        </w:rPr>
        <w:t xml:space="preserve">altogether, </w:t>
      </w:r>
      <w:r w:rsidR="00B422DB">
        <w:rPr>
          <w:iCs/>
        </w:rPr>
        <w:t>the cost of the MSC would need to be reduced by $</w:t>
      </w:r>
      <w:r>
        <w:rPr>
          <w:iCs/>
        </w:rPr>
        <w:t>9-</w:t>
      </w:r>
      <w:r w:rsidR="00B422DB">
        <w:rPr>
          <w:iCs/>
        </w:rPr>
        <w:t>10</w:t>
      </w:r>
      <w:r>
        <w:rPr>
          <w:iCs/>
        </w:rPr>
        <w:t xml:space="preserve"> million.  Alternatively the project could be delayed </w:t>
      </w:r>
      <w:r w:rsidR="00D97DEF">
        <w:rPr>
          <w:iCs/>
        </w:rPr>
        <w:t xml:space="preserve">approximately three years.  This would solve the cash flow problem in FY2024-25, but the building cost is expected to escalate by 6% per year, adding about $5 million to the project.  </w:t>
      </w:r>
    </w:p>
    <w:p w:rsidR="00D97DEF" w:rsidRDefault="00D97DEF" w:rsidP="0099088C">
      <w:pPr>
        <w:rPr>
          <w:iCs/>
        </w:rPr>
      </w:pPr>
    </w:p>
    <w:p w:rsidR="00916993" w:rsidRDefault="00916993" w:rsidP="00D06D58">
      <w:pPr>
        <w:jc w:val="center"/>
      </w:pPr>
    </w:p>
    <w:p w:rsidR="00916993" w:rsidRDefault="00916993" w:rsidP="0099088C"/>
    <w:p w:rsidR="00574DEF" w:rsidRDefault="00574DEF" w:rsidP="0099088C"/>
    <w:sectPr w:rsidR="00574DE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674" w:rsidRDefault="00B02674" w:rsidP="00BC3347">
      <w:r>
        <w:separator/>
      </w:r>
    </w:p>
  </w:endnote>
  <w:endnote w:type="continuationSeparator" w:id="0">
    <w:p w:rsidR="00B02674" w:rsidRDefault="00B02674" w:rsidP="00BC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617065"/>
      <w:docPartObj>
        <w:docPartGallery w:val="Page Numbers (Bottom of Page)"/>
        <w:docPartUnique/>
      </w:docPartObj>
    </w:sdtPr>
    <w:sdtEndPr>
      <w:rPr>
        <w:noProof/>
      </w:rPr>
    </w:sdtEndPr>
    <w:sdtContent>
      <w:p w:rsidR="00BC3347" w:rsidRDefault="00BC3347">
        <w:pPr>
          <w:pStyle w:val="Footer"/>
          <w:jc w:val="center"/>
        </w:pPr>
        <w:r>
          <w:fldChar w:fldCharType="begin"/>
        </w:r>
        <w:r>
          <w:instrText xml:space="preserve"> PAGE   \* MERGEFORMAT </w:instrText>
        </w:r>
        <w:r>
          <w:fldChar w:fldCharType="separate"/>
        </w:r>
        <w:r w:rsidR="00FE6AC0">
          <w:rPr>
            <w:noProof/>
          </w:rPr>
          <w:t>2</w:t>
        </w:r>
        <w:r>
          <w:rPr>
            <w:noProof/>
          </w:rPr>
          <w:fldChar w:fldCharType="end"/>
        </w:r>
      </w:p>
    </w:sdtContent>
  </w:sdt>
  <w:p w:rsidR="00BC3347" w:rsidRDefault="00BC3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674" w:rsidRDefault="00B02674" w:rsidP="00BC3347">
      <w:r>
        <w:separator/>
      </w:r>
    </w:p>
  </w:footnote>
  <w:footnote w:type="continuationSeparator" w:id="0">
    <w:p w:rsidR="00B02674" w:rsidRDefault="00B02674" w:rsidP="00BC3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427"/>
    <w:multiLevelType w:val="hybridMultilevel"/>
    <w:tmpl w:val="9564AF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282540B"/>
    <w:multiLevelType w:val="hybridMultilevel"/>
    <w:tmpl w:val="45B8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E6A77"/>
    <w:multiLevelType w:val="hybridMultilevel"/>
    <w:tmpl w:val="BBD43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63090"/>
    <w:multiLevelType w:val="hybridMultilevel"/>
    <w:tmpl w:val="C734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6C"/>
    <w:rsid w:val="0008676C"/>
    <w:rsid w:val="000D3E56"/>
    <w:rsid w:val="000D52BA"/>
    <w:rsid w:val="00113E5A"/>
    <w:rsid w:val="002207AF"/>
    <w:rsid w:val="0023219E"/>
    <w:rsid w:val="00237BAA"/>
    <w:rsid w:val="002763CB"/>
    <w:rsid w:val="00294CD7"/>
    <w:rsid w:val="002A7A65"/>
    <w:rsid w:val="002B469F"/>
    <w:rsid w:val="002E18B8"/>
    <w:rsid w:val="00312417"/>
    <w:rsid w:val="00326364"/>
    <w:rsid w:val="0034617E"/>
    <w:rsid w:val="00353F75"/>
    <w:rsid w:val="00387037"/>
    <w:rsid w:val="003E09DC"/>
    <w:rsid w:val="00424C2E"/>
    <w:rsid w:val="00493C09"/>
    <w:rsid w:val="00497F4B"/>
    <w:rsid w:val="004D446C"/>
    <w:rsid w:val="005421D0"/>
    <w:rsid w:val="005535F2"/>
    <w:rsid w:val="00574DEF"/>
    <w:rsid w:val="005777F8"/>
    <w:rsid w:val="00652FBC"/>
    <w:rsid w:val="0067350F"/>
    <w:rsid w:val="006B0D8C"/>
    <w:rsid w:val="006E76F0"/>
    <w:rsid w:val="007B0B5F"/>
    <w:rsid w:val="007D2EC5"/>
    <w:rsid w:val="007E5EAC"/>
    <w:rsid w:val="00824DED"/>
    <w:rsid w:val="00881270"/>
    <w:rsid w:val="008C5B3E"/>
    <w:rsid w:val="00916204"/>
    <w:rsid w:val="00916993"/>
    <w:rsid w:val="009244D9"/>
    <w:rsid w:val="00927E36"/>
    <w:rsid w:val="00947740"/>
    <w:rsid w:val="00966CF9"/>
    <w:rsid w:val="00977E95"/>
    <w:rsid w:val="0099088C"/>
    <w:rsid w:val="009C4B70"/>
    <w:rsid w:val="00A13770"/>
    <w:rsid w:val="00A26E4B"/>
    <w:rsid w:val="00A763E6"/>
    <w:rsid w:val="00A90536"/>
    <w:rsid w:val="00AA22C2"/>
    <w:rsid w:val="00B010E9"/>
    <w:rsid w:val="00B02674"/>
    <w:rsid w:val="00B267AC"/>
    <w:rsid w:val="00B422DB"/>
    <w:rsid w:val="00B453CD"/>
    <w:rsid w:val="00B850DC"/>
    <w:rsid w:val="00BA32F6"/>
    <w:rsid w:val="00BC3347"/>
    <w:rsid w:val="00C04EFE"/>
    <w:rsid w:val="00C2222B"/>
    <w:rsid w:val="00C326E9"/>
    <w:rsid w:val="00C605B1"/>
    <w:rsid w:val="00CC709D"/>
    <w:rsid w:val="00D06D58"/>
    <w:rsid w:val="00D97DEF"/>
    <w:rsid w:val="00DA63F2"/>
    <w:rsid w:val="00EA054D"/>
    <w:rsid w:val="00ED53D6"/>
    <w:rsid w:val="00F304E4"/>
    <w:rsid w:val="00F86ACA"/>
    <w:rsid w:val="00FA4BAA"/>
    <w:rsid w:val="00FB2E60"/>
    <w:rsid w:val="00FE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F688C-3A85-4BA2-A5CF-70D7E722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B3E"/>
    <w:rPr>
      <w:rFonts w:ascii="Segoe UI" w:eastAsia="Times New Roman" w:hAnsi="Segoe UI" w:cs="Segoe UI"/>
      <w:sz w:val="18"/>
      <w:szCs w:val="18"/>
    </w:rPr>
  </w:style>
  <w:style w:type="paragraph" w:styleId="ListParagraph">
    <w:name w:val="List Paragraph"/>
    <w:basedOn w:val="Normal"/>
    <w:uiPriority w:val="34"/>
    <w:qFormat/>
    <w:rsid w:val="007E5EAC"/>
    <w:pPr>
      <w:ind w:left="720"/>
      <w:contextualSpacing/>
    </w:pPr>
  </w:style>
  <w:style w:type="table" w:styleId="TableGrid">
    <w:name w:val="Table Grid"/>
    <w:basedOn w:val="TableNormal"/>
    <w:uiPriority w:val="39"/>
    <w:rsid w:val="0027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347"/>
    <w:pPr>
      <w:tabs>
        <w:tab w:val="center" w:pos="4680"/>
        <w:tab w:val="right" w:pos="9360"/>
      </w:tabs>
    </w:pPr>
  </w:style>
  <w:style w:type="character" w:customStyle="1" w:styleId="HeaderChar">
    <w:name w:val="Header Char"/>
    <w:basedOn w:val="DefaultParagraphFont"/>
    <w:link w:val="Header"/>
    <w:uiPriority w:val="99"/>
    <w:rsid w:val="00BC33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3347"/>
    <w:pPr>
      <w:tabs>
        <w:tab w:val="center" w:pos="4680"/>
        <w:tab w:val="right" w:pos="9360"/>
      </w:tabs>
    </w:pPr>
  </w:style>
  <w:style w:type="character" w:customStyle="1" w:styleId="FooterChar">
    <w:name w:val="Footer Char"/>
    <w:basedOn w:val="DefaultParagraphFont"/>
    <w:link w:val="Footer"/>
    <w:uiPriority w:val="99"/>
    <w:rsid w:val="00BC3347"/>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E18B8"/>
    <w:rPr>
      <w:rFonts w:ascii="Calibri" w:hAnsi="Calibri"/>
      <w:sz w:val="22"/>
      <w:szCs w:val="21"/>
    </w:rPr>
  </w:style>
  <w:style w:type="character" w:customStyle="1" w:styleId="PlainTextChar">
    <w:name w:val="Plain Text Char"/>
    <w:basedOn w:val="DefaultParagraphFont"/>
    <w:link w:val="PlainText"/>
    <w:uiPriority w:val="99"/>
    <w:rsid w:val="002E18B8"/>
    <w:rPr>
      <w:rFonts w:ascii="Calibri" w:eastAsia="Times New Roman" w:hAnsi="Calibri" w:cs="Times New Roman"/>
      <w:szCs w:val="21"/>
    </w:rPr>
  </w:style>
  <w:style w:type="table" w:styleId="GridTable4-Accent5">
    <w:name w:val="Grid Table 4 Accent 5"/>
    <w:basedOn w:val="TableNormal"/>
    <w:uiPriority w:val="49"/>
    <w:rsid w:val="00977E9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3329">
      <w:bodyDiv w:val="1"/>
      <w:marLeft w:val="0"/>
      <w:marRight w:val="0"/>
      <w:marTop w:val="0"/>
      <w:marBottom w:val="0"/>
      <w:divBdr>
        <w:top w:val="none" w:sz="0" w:space="0" w:color="auto"/>
        <w:left w:val="none" w:sz="0" w:space="0" w:color="auto"/>
        <w:bottom w:val="none" w:sz="0" w:space="0" w:color="auto"/>
        <w:right w:val="none" w:sz="0" w:space="0" w:color="auto"/>
      </w:divBdr>
    </w:div>
    <w:div w:id="451360653">
      <w:bodyDiv w:val="1"/>
      <w:marLeft w:val="0"/>
      <w:marRight w:val="0"/>
      <w:marTop w:val="0"/>
      <w:marBottom w:val="0"/>
      <w:divBdr>
        <w:top w:val="none" w:sz="0" w:space="0" w:color="auto"/>
        <w:left w:val="none" w:sz="0" w:space="0" w:color="auto"/>
        <w:bottom w:val="none" w:sz="0" w:space="0" w:color="auto"/>
        <w:right w:val="none" w:sz="0" w:space="0" w:color="auto"/>
      </w:divBdr>
    </w:div>
    <w:div w:id="1121726384">
      <w:bodyDiv w:val="1"/>
      <w:marLeft w:val="0"/>
      <w:marRight w:val="0"/>
      <w:marTop w:val="0"/>
      <w:marBottom w:val="0"/>
      <w:divBdr>
        <w:top w:val="none" w:sz="0" w:space="0" w:color="auto"/>
        <w:left w:val="none" w:sz="0" w:space="0" w:color="auto"/>
        <w:bottom w:val="none" w:sz="0" w:space="0" w:color="auto"/>
        <w:right w:val="none" w:sz="0" w:space="0" w:color="auto"/>
      </w:divBdr>
    </w:div>
    <w:div w:id="20463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Pennoyer</dc:creator>
  <cp:keywords/>
  <dc:description/>
  <cp:lastModifiedBy>Roger Stancil</cp:lastModifiedBy>
  <cp:revision>2</cp:revision>
  <cp:lastPrinted>2018-05-11T15:29:00Z</cp:lastPrinted>
  <dcterms:created xsi:type="dcterms:W3CDTF">2018-05-14T23:11:00Z</dcterms:created>
  <dcterms:modified xsi:type="dcterms:W3CDTF">2018-05-14T23:11:00Z</dcterms:modified>
</cp:coreProperties>
</file>