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6C" w:rsidRPr="00864587" w:rsidRDefault="0008676C" w:rsidP="0008676C">
      <w:pPr>
        <w:ind w:left="360"/>
        <w:jc w:val="center"/>
        <w:rPr>
          <w:b/>
          <w:sz w:val="28"/>
          <w:szCs w:val="28"/>
        </w:rPr>
      </w:pPr>
      <w:r w:rsidRPr="00864587">
        <w:rPr>
          <w:b/>
          <w:sz w:val="28"/>
          <w:szCs w:val="28"/>
        </w:rPr>
        <w:t>Budget Questions and Requests for Information</w:t>
      </w:r>
    </w:p>
    <w:p w:rsidR="0008676C" w:rsidRDefault="0008676C" w:rsidP="0008676C">
      <w:pPr>
        <w:ind w:left="360"/>
        <w:jc w:val="center"/>
        <w:rPr>
          <w:b/>
          <w:sz w:val="28"/>
          <w:szCs w:val="28"/>
        </w:rPr>
      </w:pPr>
      <w:r w:rsidRPr="00864587">
        <w:rPr>
          <w:b/>
          <w:sz w:val="28"/>
          <w:szCs w:val="28"/>
        </w:rPr>
        <w:t>201</w:t>
      </w:r>
      <w:r w:rsidR="00F304E4">
        <w:rPr>
          <w:b/>
          <w:sz w:val="28"/>
          <w:szCs w:val="28"/>
        </w:rPr>
        <w:t>8</w:t>
      </w:r>
      <w:r w:rsidRPr="00864587">
        <w:rPr>
          <w:b/>
          <w:sz w:val="28"/>
          <w:szCs w:val="28"/>
        </w:rPr>
        <w:t>-1</w:t>
      </w:r>
      <w:r w:rsidR="00F304E4">
        <w:rPr>
          <w:b/>
          <w:sz w:val="28"/>
          <w:szCs w:val="28"/>
        </w:rPr>
        <w:t>9</w:t>
      </w:r>
      <w:r w:rsidRPr="00864587">
        <w:rPr>
          <w:b/>
          <w:sz w:val="28"/>
          <w:szCs w:val="28"/>
        </w:rPr>
        <w:t xml:space="preserve"> Recommended Budget</w:t>
      </w:r>
    </w:p>
    <w:p w:rsidR="00237BAA" w:rsidRDefault="00237BAA" w:rsidP="0008676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 #</w:t>
      </w:r>
      <w:r w:rsidR="002A6894">
        <w:rPr>
          <w:b/>
          <w:sz w:val="28"/>
          <w:szCs w:val="28"/>
        </w:rPr>
        <w:t>1</w:t>
      </w:r>
      <w:r w:rsidR="00BD2D04">
        <w:rPr>
          <w:b/>
          <w:sz w:val="28"/>
          <w:szCs w:val="28"/>
        </w:rPr>
        <w:t>8</w:t>
      </w:r>
    </w:p>
    <w:p w:rsidR="0008676C" w:rsidRDefault="0008676C" w:rsidP="00DD5C4A">
      <w:pPr>
        <w:shd w:val="clear" w:color="auto" w:fill="FFFFFF" w:themeFill="background1"/>
        <w:ind w:left="360"/>
        <w:jc w:val="center"/>
      </w:pPr>
    </w:p>
    <w:p w:rsidR="00E60B83" w:rsidRPr="00E60B83" w:rsidRDefault="0008676C" w:rsidP="00BD2D04">
      <w:pPr>
        <w:shd w:val="clear" w:color="auto" w:fill="FFFFFF" w:themeFill="background1"/>
        <w:ind w:left="1440" w:hanging="1440"/>
      </w:pPr>
      <w:r w:rsidRPr="00000419">
        <w:rPr>
          <w:b/>
        </w:rPr>
        <w:t>QUESTION:</w:t>
      </w:r>
      <w:r w:rsidRPr="00000419">
        <w:t xml:space="preserve">  </w:t>
      </w:r>
      <w:r w:rsidR="00E60B83" w:rsidRPr="00E60B83">
        <w:t>There is a significant decrease in our vacancy pool (to zero). Does that translate to a lower vacancy rate and jobs being filled more quickly?</w:t>
      </w:r>
    </w:p>
    <w:p w:rsidR="0008676C" w:rsidRDefault="0008676C" w:rsidP="00DD5C4A">
      <w:pPr>
        <w:rPr>
          <w:b/>
        </w:rPr>
      </w:pPr>
      <w:r w:rsidRPr="00000419">
        <w:rPr>
          <w:b/>
        </w:rPr>
        <w:t xml:space="preserve">RESPONDENT:  </w:t>
      </w:r>
      <w:r w:rsidR="00237BAA">
        <w:rPr>
          <w:b/>
        </w:rPr>
        <w:tab/>
      </w:r>
      <w:r w:rsidR="00881270">
        <w:t>Kenneth C. Pennoyer</w:t>
      </w:r>
      <w:r w:rsidR="00DA63F2">
        <w:t>, Bu</w:t>
      </w:r>
      <w:r w:rsidR="00881270">
        <w:t>siness Management Director</w:t>
      </w:r>
      <w:r w:rsidRPr="00000419">
        <w:rPr>
          <w:b/>
        </w:rPr>
        <w:t xml:space="preserve">  </w:t>
      </w:r>
    </w:p>
    <w:p w:rsidR="0008676C" w:rsidRDefault="0008676C" w:rsidP="0008676C">
      <w:pPr>
        <w:rPr>
          <w:b/>
        </w:rPr>
      </w:pPr>
    </w:p>
    <w:p w:rsidR="00FE1E32" w:rsidRDefault="0008676C" w:rsidP="0008676C">
      <w:pPr>
        <w:rPr>
          <w:b/>
          <w:iCs/>
          <w:caps/>
        </w:rPr>
      </w:pPr>
      <w:r w:rsidRPr="0008676C">
        <w:rPr>
          <w:b/>
          <w:iCs/>
          <w:caps/>
        </w:rPr>
        <w:t xml:space="preserve">Response: </w:t>
      </w:r>
    </w:p>
    <w:p w:rsidR="00237BAA" w:rsidRDefault="0008676C" w:rsidP="0008676C">
      <w:pPr>
        <w:rPr>
          <w:b/>
          <w:iCs/>
          <w:caps/>
        </w:rPr>
      </w:pPr>
      <w:r w:rsidRPr="0008676C">
        <w:rPr>
          <w:b/>
          <w:iCs/>
          <w:caps/>
        </w:rPr>
        <w:t xml:space="preserve"> </w:t>
      </w:r>
    </w:p>
    <w:p w:rsidR="008073C7" w:rsidRDefault="00BD2D04" w:rsidP="002A6894">
      <w:pPr>
        <w:rPr>
          <w:iCs/>
        </w:rPr>
      </w:pPr>
      <w:r>
        <w:rPr>
          <w:iCs/>
        </w:rPr>
        <w:t>While it out ongoing goal to fill needed vacancies more</w:t>
      </w:r>
      <w:bookmarkStart w:id="0" w:name="_GoBack"/>
      <w:bookmarkEnd w:id="0"/>
      <w:r>
        <w:rPr>
          <w:iCs/>
        </w:rPr>
        <w:t xml:space="preserve"> quickly, t</w:t>
      </w:r>
      <w:r w:rsidR="00FE1ECB">
        <w:rPr>
          <w:iCs/>
        </w:rPr>
        <w:t>he reduction in vacancy pool is to adjust the amount of non-current revenues budgeted to avoid further draw down of fund balance.  Appropriated fund balance and vacancy pool represent the two sources of non-current revenues used to balance the budget that are offset by the expected budgetary savings, which are mostly from lapsed salaries.</w:t>
      </w:r>
      <w:r w:rsidR="00EA0D14">
        <w:rPr>
          <w:iCs/>
        </w:rPr>
        <w:t xml:space="preserve">  We did not budget vacancy pool fund</w:t>
      </w:r>
      <w:r w:rsidR="00C32DBA">
        <w:rPr>
          <w:iCs/>
        </w:rPr>
        <w:t>s</w:t>
      </w:r>
      <w:r w:rsidR="00EA0D14">
        <w:rPr>
          <w:iCs/>
        </w:rPr>
        <w:t xml:space="preserve"> in FY19 in order to restore fund balance to the target level.  </w:t>
      </w:r>
      <w:r w:rsidR="008073C7">
        <w:rPr>
          <w:iCs/>
        </w:rPr>
        <w:t>Budgeting Vacancy Pool funds has no impact on the vacancy rate or the speed with which positions are filled.</w:t>
      </w:r>
    </w:p>
    <w:p w:rsidR="008073C7" w:rsidRDefault="008073C7" w:rsidP="002A6894">
      <w:pPr>
        <w:rPr>
          <w:iCs/>
        </w:rPr>
      </w:pPr>
    </w:p>
    <w:p w:rsidR="00FE1ECB" w:rsidRDefault="00FE1ECB" w:rsidP="002A6894">
      <w:pPr>
        <w:rPr>
          <w:iCs/>
        </w:rPr>
      </w:pPr>
      <w:r>
        <w:rPr>
          <w:iCs/>
        </w:rPr>
        <w:t xml:space="preserve">The following table </w:t>
      </w:r>
      <w:r w:rsidR="00BC2528">
        <w:rPr>
          <w:iCs/>
        </w:rPr>
        <w:t xml:space="preserve">and graph </w:t>
      </w:r>
      <w:r>
        <w:rPr>
          <w:iCs/>
        </w:rPr>
        <w:t>summarize the change in use of non-current revenues</w:t>
      </w:r>
      <w:r w:rsidR="008073C7">
        <w:rPr>
          <w:iCs/>
        </w:rPr>
        <w:t xml:space="preserve"> and the year-end addition to fund balance (savings less non-current revenues):</w:t>
      </w:r>
    </w:p>
    <w:p w:rsidR="002A6894" w:rsidRDefault="00FE1ECB" w:rsidP="00FE1ECB">
      <w:pPr>
        <w:rPr>
          <w:iCs/>
        </w:rPr>
      </w:pPr>
      <w:r>
        <w:rPr>
          <w:iCs/>
        </w:rPr>
        <w:t xml:space="preserve"> </w:t>
      </w:r>
      <w:r w:rsidR="008073C7" w:rsidRPr="008073C7">
        <w:rPr>
          <w:noProof/>
        </w:rPr>
        <w:drawing>
          <wp:inline distT="0" distB="0" distL="0" distR="0">
            <wp:extent cx="5943600" cy="1278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 </w:t>
      </w:r>
    </w:p>
    <w:p w:rsidR="008073C7" w:rsidRDefault="008073C7" w:rsidP="008073C7">
      <w:pPr>
        <w:rPr>
          <w:iCs/>
        </w:rPr>
      </w:pPr>
    </w:p>
    <w:p w:rsidR="002A6894" w:rsidRDefault="008073C7" w:rsidP="008073C7">
      <w:pPr>
        <w:jc w:val="center"/>
        <w:rPr>
          <w:iCs/>
        </w:rPr>
      </w:pPr>
      <w:r w:rsidRPr="008073C7">
        <w:rPr>
          <w:noProof/>
        </w:rPr>
        <w:drawing>
          <wp:inline distT="0" distB="0" distL="0" distR="0">
            <wp:extent cx="3750129" cy="2356982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979" cy="236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427"/>
    <w:multiLevelType w:val="hybridMultilevel"/>
    <w:tmpl w:val="9564AFE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82540B"/>
    <w:multiLevelType w:val="hybridMultilevel"/>
    <w:tmpl w:val="45B8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7C56"/>
    <w:multiLevelType w:val="multilevel"/>
    <w:tmpl w:val="611A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E6A77"/>
    <w:multiLevelType w:val="hybridMultilevel"/>
    <w:tmpl w:val="BBD43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090"/>
    <w:multiLevelType w:val="hybridMultilevel"/>
    <w:tmpl w:val="C73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6C"/>
    <w:rsid w:val="000203B5"/>
    <w:rsid w:val="0008676C"/>
    <w:rsid w:val="000D52BA"/>
    <w:rsid w:val="002207AF"/>
    <w:rsid w:val="0023219E"/>
    <w:rsid w:val="00232F21"/>
    <w:rsid w:val="00237BAA"/>
    <w:rsid w:val="00282684"/>
    <w:rsid w:val="00294CD7"/>
    <w:rsid w:val="002A6894"/>
    <w:rsid w:val="002A7A65"/>
    <w:rsid w:val="00312417"/>
    <w:rsid w:val="00326364"/>
    <w:rsid w:val="00391E7C"/>
    <w:rsid w:val="00424C2E"/>
    <w:rsid w:val="00493C09"/>
    <w:rsid w:val="00497F4B"/>
    <w:rsid w:val="005421D0"/>
    <w:rsid w:val="005535F2"/>
    <w:rsid w:val="005777F8"/>
    <w:rsid w:val="005D7B76"/>
    <w:rsid w:val="006E76F0"/>
    <w:rsid w:val="007D2EC5"/>
    <w:rsid w:val="007E5EAC"/>
    <w:rsid w:val="008073C7"/>
    <w:rsid w:val="00881270"/>
    <w:rsid w:val="008C5B3E"/>
    <w:rsid w:val="00916204"/>
    <w:rsid w:val="00927E36"/>
    <w:rsid w:val="00947740"/>
    <w:rsid w:val="00966CF9"/>
    <w:rsid w:val="009C4B70"/>
    <w:rsid w:val="00A763E6"/>
    <w:rsid w:val="00A90536"/>
    <w:rsid w:val="00B010E9"/>
    <w:rsid w:val="00B267AC"/>
    <w:rsid w:val="00B97ABE"/>
    <w:rsid w:val="00BA32F6"/>
    <w:rsid w:val="00BC2528"/>
    <w:rsid w:val="00BD2D04"/>
    <w:rsid w:val="00C32DBA"/>
    <w:rsid w:val="00C605B1"/>
    <w:rsid w:val="00CC709D"/>
    <w:rsid w:val="00DA63F2"/>
    <w:rsid w:val="00DD5C4A"/>
    <w:rsid w:val="00E60B83"/>
    <w:rsid w:val="00EA054D"/>
    <w:rsid w:val="00EA0D14"/>
    <w:rsid w:val="00ED53D6"/>
    <w:rsid w:val="00F304E4"/>
    <w:rsid w:val="00F86ACA"/>
    <w:rsid w:val="00FA4BAA"/>
    <w:rsid w:val="00FB2E60"/>
    <w:rsid w:val="00FE1E32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F688C-3A85-4BA2-A5CF-70D7E72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3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Pennoyer</dc:creator>
  <cp:keywords/>
  <dc:description/>
  <cp:lastModifiedBy>Roger Stancil</cp:lastModifiedBy>
  <cp:revision>2</cp:revision>
  <cp:lastPrinted>2016-05-13T19:47:00Z</cp:lastPrinted>
  <dcterms:created xsi:type="dcterms:W3CDTF">2018-05-16T17:18:00Z</dcterms:created>
  <dcterms:modified xsi:type="dcterms:W3CDTF">2018-05-16T17:18:00Z</dcterms:modified>
</cp:coreProperties>
</file>