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5B" w:rsidRPr="00FA375B" w:rsidRDefault="00FA375B" w:rsidP="00FA375B">
      <w:pPr>
        <w:spacing w:after="0" w:line="240" w:lineRule="auto"/>
        <w:ind w:left="360"/>
        <w:jc w:val="center"/>
        <w:rPr>
          <w:rFonts w:ascii="Times New Roman" w:eastAsia="Times New Roman" w:hAnsi="Times New Roman" w:cs="Times New Roman"/>
          <w:b/>
          <w:sz w:val="28"/>
          <w:szCs w:val="28"/>
        </w:rPr>
      </w:pPr>
      <w:r w:rsidRPr="00FA375B">
        <w:rPr>
          <w:rFonts w:ascii="Times New Roman" w:eastAsia="Times New Roman" w:hAnsi="Times New Roman" w:cs="Times New Roman"/>
          <w:b/>
          <w:sz w:val="28"/>
          <w:szCs w:val="28"/>
        </w:rPr>
        <w:t>Budget Questions and Requests for Information</w:t>
      </w:r>
    </w:p>
    <w:p w:rsidR="00FA375B" w:rsidRPr="00FA375B" w:rsidRDefault="00FA375B" w:rsidP="00FA375B">
      <w:pPr>
        <w:spacing w:after="0" w:line="240" w:lineRule="auto"/>
        <w:ind w:left="360"/>
        <w:jc w:val="center"/>
        <w:rPr>
          <w:rFonts w:ascii="Times New Roman" w:eastAsia="Times New Roman" w:hAnsi="Times New Roman" w:cs="Times New Roman"/>
          <w:b/>
          <w:sz w:val="28"/>
          <w:szCs w:val="28"/>
        </w:rPr>
      </w:pPr>
      <w:r w:rsidRPr="00FA375B">
        <w:rPr>
          <w:rFonts w:ascii="Times New Roman" w:eastAsia="Times New Roman" w:hAnsi="Times New Roman" w:cs="Times New Roman"/>
          <w:b/>
          <w:sz w:val="28"/>
          <w:szCs w:val="28"/>
        </w:rPr>
        <w:t>2018-19 Recommended Budget</w:t>
      </w:r>
    </w:p>
    <w:p w:rsidR="00FA375B" w:rsidRPr="00FA375B" w:rsidRDefault="00FA375B" w:rsidP="00FA375B">
      <w:pPr>
        <w:spacing w:after="0" w:line="240" w:lineRule="auto"/>
        <w:ind w:left="360"/>
        <w:jc w:val="center"/>
        <w:rPr>
          <w:rFonts w:ascii="Times New Roman" w:eastAsia="Times New Roman" w:hAnsi="Times New Roman" w:cs="Times New Roman"/>
          <w:b/>
          <w:sz w:val="28"/>
          <w:szCs w:val="28"/>
        </w:rPr>
      </w:pPr>
      <w:r w:rsidRPr="00FA375B">
        <w:rPr>
          <w:rFonts w:ascii="Times New Roman" w:eastAsia="Times New Roman" w:hAnsi="Times New Roman" w:cs="Times New Roman"/>
          <w:b/>
          <w:sz w:val="28"/>
          <w:szCs w:val="28"/>
        </w:rPr>
        <w:t>Question #</w:t>
      </w:r>
      <w:r>
        <w:rPr>
          <w:rFonts w:ascii="Times New Roman" w:eastAsia="Times New Roman" w:hAnsi="Times New Roman" w:cs="Times New Roman"/>
          <w:b/>
          <w:sz w:val="28"/>
          <w:szCs w:val="28"/>
        </w:rPr>
        <w:t>26</w:t>
      </w:r>
      <w:bookmarkStart w:id="0" w:name="_GoBack"/>
      <w:bookmarkEnd w:id="0"/>
    </w:p>
    <w:p w:rsidR="00FA375B" w:rsidRPr="00FA375B" w:rsidRDefault="00FA375B" w:rsidP="00FA375B">
      <w:pPr>
        <w:spacing w:after="0" w:line="240" w:lineRule="auto"/>
        <w:ind w:left="360"/>
        <w:jc w:val="center"/>
        <w:rPr>
          <w:rFonts w:ascii="Times New Roman" w:eastAsia="Times New Roman" w:hAnsi="Times New Roman" w:cs="Times New Roman"/>
          <w:sz w:val="24"/>
          <w:szCs w:val="24"/>
        </w:rPr>
      </w:pPr>
    </w:p>
    <w:p w:rsidR="00FA375B" w:rsidRPr="00FA375B" w:rsidRDefault="00FA375B" w:rsidP="00FA375B">
      <w:pPr>
        <w:spacing w:after="0" w:line="240" w:lineRule="auto"/>
        <w:ind w:left="1440" w:hanging="1440"/>
        <w:rPr>
          <w:rFonts w:ascii="Times New Roman" w:eastAsia="Times New Roman" w:hAnsi="Times New Roman" w:cs="Times New Roman"/>
          <w:sz w:val="24"/>
          <w:szCs w:val="24"/>
        </w:rPr>
      </w:pPr>
      <w:r w:rsidRPr="00FA375B">
        <w:rPr>
          <w:rFonts w:ascii="Times New Roman" w:eastAsia="Times New Roman" w:hAnsi="Times New Roman" w:cs="Times New Roman"/>
          <w:b/>
          <w:sz w:val="24"/>
          <w:szCs w:val="24"/>
        </w:rPr>
        <w:t>QUESTION:</w:t>
      </w:r>
      <w:r w:rsidRPr="00FA3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 does our tax value break out as commercial, residential and apartments?</w:t>
      </w:r>
    </w:p>
    <w:p w:rsidR="00FA375B" w:rsidRPr="00FA375B" w:rsidRDefault="00FA375B" w:rsidP="00FA375B">
      <w:pPr>
        <w:spacing w:after="0" w:line="240" w:lineRule="auto"/>
        <w:ind w:left="1440" w:hanging="1440"/>
        <w:rPr>
          <w:rFonts w:ascii="Times New Roman" w:eastAsia="Times New Roman" w:hAnsi="Times New Roman" w:cs="Times New Roman"/>
          <w:sz w:val="24"/>
          <w:szCs w:val="24"/>
        </w:rPr>
      </w:pPr>
    </w:p>
    <w:p w:rsidR="00FA375B" w:rsidRPr="00FA375B" w:rsidRDefault="00FA375B" w:rsidP="00FA375B">
      <w:pPr>
        <w:spacing w:after="0" w:line="240" w:lineRule="auto"/>
        <w:rPr>
          <w:rFonts w:ascii="Times New Roman" w:eastAsia="Times New Roman" w:hAnsi="Times New Roman" w:cs="Times New Roman"/>
          <w:b/>
          <w:sz w:val="24"/>
          <w:szCs w:val="24"/>
        </w:rPr>
      </w:pPr>
      <w:r w:rsidRPr="00FA375B">
        <w:rPr>
          <w:rFonts w:ascii="Times New Roman" w:eastAsia="Times New Roman" w:hAnsi="Times New Roman" w:cs="Times New Roman"/>
          <w:b/>
          <w:sz w:val="24"/>
          <w:szCs w:val="24"/>
        </w:rPr>
        <w:t xml:space="preserve">RESPONDENT:  </w:t>
      </w:r>
      <w:proofErr w:type="spellStart"/>
      <w:r w:rsidRPr="00FA375B">
        <w:rPr>
          <w:rFonts w:ascii="Times New Roman" w:eastAsia="Times New Roman" w:hAnsi="Times New Roman" w:cs="Times New Roman"/>
          <w:sz w:val="24"/>
          <w:szCs w:val="24"/>
        </w:rPr>
        <w:t>Dwane</w:t>
      </w:r>
      <w:proofErr w:type="spellEnd"/>
      <w:r w:rsidRPr="00FA375B">
        <w:rPr>
          <w:rFonts w:ascii="Times New Roman" w:eastAsia="Times New Roman" w:hAnsi="Times New Roman" w:cs="Times New Roman"/>
          <w:sz w:val="24"/>
          <w:szCs w:val="24"/>
        </w:rPr>
        <w:t xml:space="preserve"> Brinson, Director, Orange County Tax Office</w:t>
      </w:r>
      <w:r w:rsidRPr="00FA375B">
        <w:rPr>
          <w:rFonts w:ascii="Times New Roman" w:eastAsia="Times New Roman" w:hAnsi="Times New Roman" w:cs="Times New Roman"/>
          <w:b/>
          <w:sz w:val="24"/>
          <w:szCs w:val="24"/>
        </w:rPr>
        <w:t xml:space="preserve"> </w:t>
      </w:r>
    </w:p>
    <w:p w:rsidR="00FA375B" w:rsidRPr="00FA375B" w:rsidRDefault="00FA375B" w:rsidP="00FA375B">
      <w:pPr>
        <w:spacing w:after="0" w:line="240" w:lineRule="auto"/>
        <w:rPr>
          <w:rFonts w:ascii="Times New Roman" w:eastAsia="Times New Roman" w:hAnsi="Times New Roman" w:cs="Times New Roman"/>
          <w:b/>
          <w:sz w:val="24"/>
          <w:szCs w:val="24"/>
        </w:rPr>
      </w:pPr>
    </w:p>
    <w:p w:rsidR="00FA375B" w:rsidRPr="00FA375B" w:rsidRDefault="00FA375B" w:rsidP="00FA375B">
      <w:pPr>
        <w:rPr>
          <w:rFonts w:ascii="Calibri" w:eastAsia="Calibri" w:hAnsi="Calibri" w:cs="Calibri"/>
        </w:rPr>
      </w:pPr>
      <w:r w:rsidRPr="00FA375B">
        <w:rPr>
          <w:rFonts w:ascii="Times New Roman" w:eastAsia="Times New Roman" w:hAnsi="Times New Roman" w:cs="Times New Roman"/>
          <w:b/>
          <w:iCs/>
          <w:caps/>
          <w:sz w:val="24"/>
          <w:szCs w:val="24"/>
        </w:rPr>
        <w:t xml:space="preserve">Response:  </w:t>
      </w:r>
      <w:r w:rsidRPr="00FA375B">
        <w:rPr>
          <w:rFonts w:ascii="Calibri" w:eastAsia="Calibri" w:hAnsi="Calibri" w:cs="Calibri"/>
        </w:rPr>
        <w:t>Below is a chart from a previous but similar report we ran for all jurisdictions.  It's based on 2017 tax assessments, and it includes only real property (not personal, business, motor vehicles, etc.).  These figures also may fluctuate some depending on the outcome of some outstanding revaluation appeals, but any change should be non-material in the bigger picture.  Let me know if anything further is needed.</w:t>
      </w:r>
    </w:p>
    <w:p w:rsidR="00FA375B" w:rsidRPr="00FA375B" w:rsidRDefault="00FA375B" w:rsidP="00FA375B">
      <w:pPr>
        <w:spacing w:after="0" w:line="240" w:lineRule="auto"/>
        <w:rPr>
          <w:rFonts w:ascii="Calibri" w:eastAsia="Calibri" w:hAnsi="Calibri" w:cs="Calibri"/>
        </w:rPr>
      </w:pPr>
    </w:p>
    <w:tbl>
      <w:tblPr>
        <w:tblW w:w="7567" w:type="dxa"/>
        <w:tblCellMar>
          <w:left w:w="0" w:type="dxa"/>
          <w:right w:w="0" w:type="dxa"/>
        </w:tblCellMar>
        <w:tblLook w:val="04A0" w:firstRow="1" w:lastRow="0" w:firstColumn="1" w:lastColumn="0" w:noHBand="0" w:noVBand="1"/>
      </w:tblPr>
      <w:tblGrid>
        <w:gridCol w:w="2294"/>
        <w:gridCol w:w="1558"/>
        <w:gridCol w:w="2858"/>
        <w:gridCol w:w="857"/>
      </w:tblGrid>
      <w:tr w:rsidR="00FA375B" w:rsidRPr="00FA375B" w:rsidTr="00FA375B">
        <w:trPr>
          <w:trHeight w:val="306"/>
        </w:trPr>
        <w:tc>
          <w:tcPr>
            <w:tcW w:w="7567" w:type="dxa"/>
            <w:gridSpan w:val="4"/>
            <w:tcBorders>
              <w:top w:val="nil"/>
              <w:left w:val="nil"/>
              <w:bottom w:val="single" w:sz="8" w:space="0" w:color="auto"/>
              <w:right w:val="nil"/>
            </w:tcBorders>
            <w:noWrap/>
            <w:tcMar>
              <w:top w:w="0" w:type="dxa"/>
              <w:left w:w="108" w:type="dxa"/>
              <w:bottom w:w="0" w:type="dxa"/>
              <w:right w:w="108" w:type="dxa"/>
            </w:tcMar>
            <w:vAlign w:val="bottom"/>
            <w:hideMark/>
          </w:tcPr>
          <w:p w:rsidR="00FA375B" w:rsidRPr="00FA375B" w:rsidRDefault="00FA375B" w:rsidP="00FA375B">
            <w:pPr>
              <w:spacing w:after="0" w:line="240" w:lineRule="auto"/>
              <w:jc w:val="center"/>
              <w:rPr>
                <w:rFonts w:ascii="Calibri" w:eastAsia="Calibri" w:hAnsi="Calibri" w:cs="Calibri"/>
                <w:b/>
                <w:bCs/>
                <w:color w:val="000000"/>
              </w:rPr>
            </w:pPr>
            <w:r w:rsidRPr="00FA375B">
              <w:rPr>
                <w:rFonts w:ascii="Calibri" w:eastAsia="Calibri" w:hAnsi="Calibri" w:cs="Calibri"/>
                <w:b/>
                <w:bCs/>
                <w:color w:val="000000"/>
              </w:rPr>
              <w:t>2017 (A, A1 &amp; E)</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ORANGE COUNTY</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Commercial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2,058,736,657.00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13%</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ORANGE COUNTY</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Apartments</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1,021,746,800.00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6%</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ORANGE COUNTY</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Residential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12,920,346,965.00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81%</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ORANGE COUNTY</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Total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16,000,830,422.00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100%</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Carrboro</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Commercial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229,210,902.00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11%</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Carrboro</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Apartments</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259,686,600.00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12%</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Carrboro</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Residential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1,650,363,674.00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77%</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Carrboro</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Total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2,139,261,176.00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100%</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Chapel Hill</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Commercial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1,299,539,088.00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19%</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Chapel Hill</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Apartments</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653,802,800.00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9%</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Chapel Hill</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Residential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5,058,216,337.00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72%</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Chapel Hill</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Total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7,011,558,225.00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100%</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Hillsborough</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Commercial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295,730,704.00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33%</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Hillsborough</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Apartments</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74,281,500.00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8%</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Hillsborough</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Residential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516,279,500.00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58%</w:t>
            </w:r>
          </w:p>
        </w:tc>
      </w:tr>
      <w:tr w:rsidR="00FA375B" w:rsidRPr="00FA375B" w:rsidTr="00FA375B">
        <w:trPr>
          <w:trHeight w:val="306"/>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Hillsborough</w:t>
            </w:r>
          </w:p>
        </w:tc>
        <w:tc>
          <w:tcPr>
            <w:tcW w:w="15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Total</w:t>
            </w:r>
          </w:p>
        </w:tc>
        <w:tc>
          <w:tcPr>
            <w:tcW w:w="2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rPr>
                <w:rFonts w:ascii="Calibri" w:eastAsia="Calibri" w:hAnsi="Calibri" w:cs="Calibri"/>
                <w:color w:val="000000"/>
              </w:rPr>
            </w:pPr>
            <w:r w:rsidRPr="00FA375B">
              <w:rPr>
                <w:rFonts w:ascii="Calibri" w:eastAsia="Calibri" w:hAnsi="Calibri" w:cs="Calibri"/>
                <w:color w:val="000000"/>
              </w:rPr>
              <w:t xml:space="preserve">$        886,291,704.00 </w:t>
            </w:r>
          </w:p>
        </w:tc>
        <w:tc>
          <w:tcPr>
            <w:tcW w:w="8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A375B" w:rsidRPr="00FA375B" w:rsidRDefault="00FA375B" w:rsidP="00FA375B">
            <w:pPr>
              <w:spacing w:after="0" w:line="240" w:lineRule="auto"/>
              <w:jc w:val="right"/>
              <w:rPr>
                <w:rFonts w:ascii="Calibri" w:eastAsia="Calibri" w:hAnsi="Calibri" w:cs="Calibri"/>
                <w:color w:val="000000"/>
              </w:rPr>
            </w:pPr>
            <w:r w:rsidRPr="00FA375B">
              <w:rPr>
                <w:rFonts w:ascii="Calibri" w:eastAsia="Calibri" w:hAnsi="Calibri" w:cs="Calibri"/>
                <w:color w:val="000000"/>
              </w:rPr>
              <w:t>100%</w:t>
            </w:r>
          </w:p>
        </w:tc>
      </w:tr>
    </w:tbl>
    <w:p w:rsidR="00FA375B" w:rsidRDefault="00FA375B"/>
    <w:sectPr w:rsidR="00FA3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E6A77"/>
    <w:multiLevelType w:val="hybridMultilevel"/>
    <w:tmpl w:val="BBD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5B"/>
    <w:rsid w:val="00317196"/>
    <w:rsid w:val="00FA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5124-0A22-4AEA-AD15-D204F56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Stancil</dc:creator>
  <cp:keywords/>
  <dc:description/>
  <cp:lastModifiedBy>Roger Stancil</cp:lastModifiedBy>
  <cp:revision>1</cp:revision>
  <dcterms:created xsi:type="dcterms:W3CDTF">2018-05-18T13:42:00Z</dcterms:created>
  <dcterms:modified xsi:type="dcterms:W3CDTF">2018-05-18T13:50:00Z</dcterms:modified>
</cp:coreProperties>
</file>